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567690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584835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132080</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163830</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216535</wp:posOffset>
            </wp:positionV>
            <wp:extent cx="1419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Arcadia Biosciences, Inc.</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249555</wp:posOffset>
            </wp:positionV>
            <wp:extent cx="1419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tbl>
      <w:tblPr>
        <w:tblLayout w:type="fixed"/>
        <w:tblInd w:w="1160" w:type="dxa"/>
        <w:tblCellMar>
          <w:top w:w="0" w:type="dxa"/>
          <w:left w:w="0" w:type="dxa"/>
          <w:bottom w:w="0" w:type="dxa"/>
          <w:right w:w="0" w:type="dxa"/>
        </w:tblCellMar>
      </w:tblPr>
      <w:tr>
        <w:trPr>
          <w:trHeight w:val="221"/>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001-37383</w:t>
            </w:r>
          </w:p>
        </w:tc>
        <w:tc>
          <w:tcPr>
            <w:tcW w:w="206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81-0571538</w:t>
            </w:r>
          </w:p>
        </w:tc>
      </w:tr>
      <w:tr>
        <w:trPr>
          <w:trHeight w:val="148"/>
        </w:trPr>
        <w:tc>
          <w:tcPr>
            <w:tcW w:w="3000" w:type="dxa"/>
            <w:vAlign w:val="bottom"/>
          </w:tcPr>
          <w:p>
            <w:pPr>
              <w:jc w:val="center"/>
              <w:ind w:right="600"/>
              <w:spacing w:after="0" w:line="148"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21"/>
              <w:spacing w:after="0" w:line="148"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60" w:type="dxa"/>
            <w:vAlign w:val="bottom"/>
          </w:tcPr>
          <w:p>
            <w:pPr>
              <w:jc w:val="center"/>
              <w:ind w:left="904"/>
              <w:spacing w:after="0" w:line="148"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5956 Sherry Lane</w:t>
            </w:r>
          </w:p>
        </w:tc>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2000</w:t>
            </w:r>
          </w:p>
        </w:tc>
        <w:tc>
          <w:tcPr>
            <w:tcW w:w="3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1"/>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3260" w:type="dxa"/>
            <w:vAlign w:val="bottom"/>
          </w:tcPr>
          <w:p>
            <w:pPr>
              <w:spacing w:after="0"/>
              <w:rPr>
                <w:sz w:val="19"/>
                <w:szCs w:val="19"/>
                <w:color w:val="auto"/>
              </w:rPr>
            </w:pPr>
          </w:p>
        </w:tc>
        <w:tc>
          <w:tcPr>
            <w:tcW w:w="206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75225</w:t>
            </w:r>
          </w:p>
        </w:tc>
      </w:tr>
      <w:tr>
        <w:trPr>
          <w:trHeight w:val="178"/>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0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214 974-8921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257810</wp:posOffset>
            </wp:positionV>
            <wp:extent cx="1419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5"/>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0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7"/>
        </w:trPr>
        <w:tc>
          <w:tcPr>
            <w:tcW w:w="31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Common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RKDA</w:t>
            </w:r>
          </w:p>
        </w:tc>
        <w:tc>
          <w:tcPr>
            <w:tcW w:w="10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11, 2026, Arcadia Biosciences, Inc. (the “Company”) entered into a securities purchase agreement (the “Purchase Agreement”) with an institutional accredited investor (the “Purchaser”) for the sale and issuance in a private placement (the “Private Placement”) of (i) pre-funded warrants (the "Pre-Funded Warrants") to purchase up to 3,883,496 shares (“Pre-Funded Warrant Shares”) of common stock of the Company (“Common Stock”), (ii) Series A-1 preferred investment options (the “Series A-1 Investment Options”) to purchase up to a total of 3,883,496 shares of Common Stock (“Series A-1 Option Shares”), and (iii) Series A-2 preferred investment options (the “Series A-2 Investment Options” and together with the Series A-1 Investment Options, the “Investment Options”) to purchase up to a total of 3,883,496 shares of Common Stock (“Series A-2 Option Shares” and together with the Series A-1 Option Shares and Pre-Funded Warrant Shares, the “Option Shares”), at a purchase price of $1.0299 per Pre-Funded Warrant and accompanying Investment Options. Gross proceeds from the sale of the Pre-Funded Warrants and Investment Options are expected to be approximately $4 million, before deducting offering costs and expenses. The closing of the sale of the Pre-Funded Warrants and Investment Options took place on June 12, 2026 (the "Closing Date").</w:t>
      </w:r>
    </w:p>
    <w:p>
      <w:pPr>
        <w:spacing w:after="0" w:line="18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Each Pre-Funded Warrant sold in the Private Placement is exercisable for one share of Common Stock at an exercise price of $0.0001 per share, is immediately exercisable, and will not expire until fully exercised. The Series A-1 Preferred Investment Options have an exercise price of $0.91 per share, will be exercisable on and after the Stockholder Approval Date (as defined below) and will expire five years after the Stockholder Approval Date. The Series A-2 Investment Options will be exercisable immediately upon issuance, will expire 24 months following the effective date of the registration statement described below, and have an exercise price of $0.91 per share. If no effective registration statement is available to register the Common Stock issuable upon the exercise of the Investment Options or Placement Agent Investment Options, the holders may exercise by means of a “cashless exercise” procedure, and the Pre-Funded Warrants may also be exercised by means of a cashless exercise procedure.</w:t>
      </w:r>
    </w:p>
    <w:p>
      <w:pPr>
        <w:spacing w:after="0" w:line="184" w:lineRule="exact"/>
        <w:rPr>
          <w:sz w:val="20"/>
          <w:szCs w:val="20"/>
          <w:color w:val="auto"/>
        </w:rPr>
      </w:pPr>
    </w:p>
    <w:p>
      <w:pPr>
        <w:ind w:right="40"/>
        <w:spacing w:after="0" w:line="217" w:lineRule="exact"/>
        <w:rPr>
          <w:sz w:val="20"/>
          <w:szCs w:val="20"/>
          <w:color w:val="auto"/>
        </w:rPr>
      </w:pPr>
      <w:r>
        <w:rPr>
          <w:rFonts w:ascii="Times New Roman" w:cs="Times New Roman" w:eastAsia="Times New Roman" w:hAnsi="Times New Roman"/>
          <w:sz w:val="18"/>
          <w:szCs w:val="18"/>
          <w:color w:val="auto"/>
        </w:rPr>
        <w:t>Under the terms of the Pre-Funded Warrants, Investment Options and Placement Agent Investment Options, a holder (together with its affiliates) may not exercise any portion of the Pre-Funded Warrant, Investment Option or Placement Agent Investment Option (as applicable) to the extent that the holder would beneficially own more than 4.99% (or 9.99% at the election of the holder) of the outstanding Common Stock immediately after exercise, which percentage may be changed at the holder’s election to a lower percentage at any time or to a higher percentage not to exceed 9.99%, provided that any such increase shall be effective upon 61 days’ prior notice to the Company. In addition, in certain circumstances, upon a fundamental transaction (as defined in the Pre-Funded Warrant or Investment Options), a holder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or Investment Options will be entitled to receive, upon exercise of the Pre-Funded Warrants or Investment Option, the kind and amount of securities, cash or other property that such holder would have received had they exercised the Pre-Funded Warrants or Investment Option immediately prior to the fundamental transaction. The Investment Options and Placement Agent Options also provide that, in the event of certain kinds of fundamental transactions, including, among other things, certain kinds of mergers or consolidations, sale of all or substantially all of our assets or certain stock sale transactions, then in certain circumstances the holder of such Investment Options or Placement Agent Options has the option, by delivering a notice within 30 days after the closing of such fundamental transaction, to require us to pay to such holders an amount of cash equal to the Black-Scholes value of the Investment Option or Placement Agent Option, calculated as provided therein.</w:t>
      </w: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respect to the Series A-1 Investment Options, the Purchase Agreement requires the Company to hold an annual or special meeting of stockholders on or prior to the date that is 90 days after the Closing Date for the purpose of obtaining such approvals as may be required by the applicable rules and regulations of the Nasdaq Stock Market LLC (or any successor entity) from the stockholders of the Company with respect to the issuance of all the Series A-1 Investment Options and the Series A-1 Option Shares upon the exercise of the Series A-1 Investment Options (“Stockholder Approval” and the date on which Stockholder Approval is received and deemed effective under Delaware law, the “Stockholder Approval Date”), with the recommendation of the Board of Directors of the Company that such proposals are approved, and provides that the Company will solicit proxies from its stockholders in connection therewith in the same manner as all other management proposals in such proxy statement, and that all management appointed proxyholders will vote their proxies in favor of such proposals. If the Company does not obtain Stockholder Approval at the first meeting, the Company is required to call a meeting every 90 days thereafter to seek Stockholder Approval until the earlier of the date on which Stockholder Approval is obtained or the Investment Options are no longer outstanding.</w:t>
      </w:r>
    </w:p>
    <w:p>
      <w:pPr>
        <w:spacing w:after="0" w:line="1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Purchase Agreement contains representations and warranties of the Company and the Purchaser and covenants that the Company believes are typical for transactions of this type. Pursuant to the terms of the Purchase Agreement, the Company has agreed to certain restrictions on the issuance and sale of its Common Stock or Common Stock equivalents, or the filing of any registration statement, during the 60-day period following the date on which the Resale Registration Statement (as defined below) covering the resale of all Pre-Funded Warrant Shares and Option Shares has been declared effective, subject to certain customary exceptions. The Company also agreed, for a period of one year after the effective date of the Resale Registration Statement, not to effect or enter into an agreement to effect a "Variable Rate Transaction" as defined in the Purchase Agreement, subject to an exception. In addition, the Purchase Agreement contains customary conditions precedent to the Purchaser’s obligation to purchase the Pre-Funded Warrants and Investment Options. The Purchase Agreement obligates the Company to indemnify the Investors and various related parties for certain losses, including those resulting from (i) any breach of any representations, warranties, covenants or agreements made by the Company in the Purchase Agreement or any other Transaction Documents (as defined in the Purchase Agreement), and (ii) certain claims by certain third parties with respect to any of the transactions contemplated by the Transaction Documents.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2" w:name="page3"/>
    <w:bookmarkEnd w:id="2"/>
    <w:p>
      <w:pPr>
        <w:ind w:right="60"/>
        <w:spacing w:after="0" w:line="257" w:lineRule="auto"/>
        <w:rPr>
          <w:sz w:val="20"/>
          <w:szCs w:val="20"/>
          <w:color w:val="auto"/>
        </w:rPr>
      </w:pPr>
      <w:r>
        <w:rPr>
          <w:rFonts w:ascii="Times New Roman" w:cs="Times New Roman" w:eastAsia="Times New Roman" w:hAnsi="Times New Roman"/>
          <w:sz w:val="18"/>
          <w:szCs w:val="18"/>
          <w:color w:val="auto"/>
        </w:rPr>
        <w:t>Agreement contains representations and warranties that the parties made to, and were solely for the benefit of, the other signatories to the Purchase Agreement in the context of all of the terms and conditions thereof and in the context of the specific relationship between the parties to the Purchase Agreement. The provisions of the Purchase Agreement, including the representations and warranties contained therein, are not for the benefit of any party other than the party signatories thereto and are not intended for investors and the public to obtain factual information about the current state of affairs of the parties to the Purchase Agreement.</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Also on January 11, 2026, and in connection with the Private Placement, the Company entered into a registration rights agreement (the “Registration Rights Agreement”) with the Purchaser. Pursuant to the Registration Rights Agreement, the Company agreed to prepare and file a registration statement (the “Resale Registration Statement”) with the SEC within 15 days after the date of the Registration Rights Agreement for purposes of registering the resale of the Option Shares. The Company also agreed to use its best efforts to cause this registration statement to be declared effective by the SEC within 45 days after the date of the Registration Statement (or 75 days in the event of a “full review” of the registration statement by the SEC). If the Company fails to meet the specified filing deadlines or keep the Resale Registration Statement effective, subject to certain permitted exceptions, the Company will be required to pay damages to the Purchaser. The Company also agreed, among other things, to indemnify the selling holder under the Resale Registration Statement from certain liabilities and to pay all fees and expenses incident to the Company’s performance of or compliance with the Registration Rights Agreement.</w:t>
      </w:r>
    </w:p>
    <w:p>
      <w:pPr>
        <w:spacing w:after="0" w:line="19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Company previously engaged H.C. Wainwright &amp; Co., LLC (“Wainwright”) to act as its exclusive placement agent in connection with the transactions described above. In consideration for its services, the Company paid Wainwright a cash fee equal to 7.0% of the aggregate gross proceeds received from the issuance of the Pre-Funded Warrants and Investment Options in the Private Placement. In addition, the Company paid Wainwright a management fee equal to 1.0% of the aggregate gross proceeds raised in the Private Placement and reimbursed Wainwright up to $50,000 for legal expenses and $25,000 for non-accountable expenses. The Engagement Letter includes indemnity and other customary provisions for transactions of this nature.</w:t>
      </w:r>
    </w:p>
    <w:p>
      <w:pPr>
        <w:spacing w:after="0" w:line="185"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Company also issued to Wainwright or its designees placement agent unregistered preferred investment options (the “Placement Agent Options”) to up to an aggregate of 271,845 shares of Common Stock ("Placement Agent Option Shares") at an exercise price of $1.2875 per share. The Placement Agent Options are exercisable immediately upon issuance and will expire on the fifth anniversary of the effective date of the Resale Registration Statement.</w:t>
      </w:r>
    </w:p>
    <w:p>
      <w:pPr>
        <w:spacing w:after="0" w:line="15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foregoing description of the Purchase Agreement, the Pre-Funded Warrants, the Investment Options, the Registration Rights Agreement, and the Placement Agent Investment Options is not complete and is qualified in its entirety by references to the forms of such documents, copies of which are filed as exhibits to this report and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disclosures in Item 1.01 of this Form 8-K are incorporated by reference into this Item 3.02 in their entirety. The Pre-Funded Warrants, Investment Options, Option Shares, Placement Agent Investment Options and Placement Agent Option Shares described in Item 1.01 above were not registered under the Securities Act of 1933, as amended (the “Securities Act”) and were offered in reliance on the exemption from registration provided by Section 4(a)(2) of the Securities Act of 1933, as amended, and Rule 506(b) promulgated thereunder, as transactions not involving a public offering and in reliance on similar exemptions under applicable state laws. Each investor represented, among other matters, that it was an accredited investor as defined in Regulation D promulgated under the Securities Act, and that the investor was purchasing the Securities for investment and not for resale.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On January 11, 2026, the Company issued a press release disclosing the Private Placement transaction referenced above. A copy of the press release is furnished as Exhibit 99.1 to this Current Report on Form 8-K and is incorporated herein by reference. The information furnished herein, including Exhibit 99.1 and 99.2,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140970</wp:posOffset>
            </wp:positionV>
            <wp:extent cx="123825" cy="247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825" cy="247650"/>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8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19"/>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6320" w:type="dxa"/>
            <w:vAlign w:val="bottom"/>
            <w:tcBorders>
              <w:bottom w:val="single" w:sz="8" w:color="auto"/>
              <w:right w:val="single" w:sz="8" w:color="auto"/>
            </w:tcBorders>
          </w:tcPr>
          <w:p>
            <w:pPr>
              <w:spacing w:after="0"/>
              <w:rPr>
                <w:sz w:val="10"/>
                <w:szCs w:val="10"/>
                <w:color w:val="auto"/>
              </w:rPr>
            </w:pPr>
          </w:p>
        </w:tc>
      </w:tr>
      <w:tr>
        <w:trPr>
          <w:trHeight w:val="132"/>
        </w:trPr>
        <w:tc>
          <w:tcPr>
            <w:tcW w:w="1260" w:type="dxa"/>
            <w:vAlign w:val="bottom"/>
            <w:tcBorders>
              <w:right w:val="single" w:sz="8" w:color="auto"/>
            </w:tcBorders>
          </w:tcPr>
          <w:p>
            <w:pPr>
              <w:ind w:left="40"/>
              <w:spacing w:after="0" w:line="132" w:lineRule="exact"/>
              <w:rPr>
                <w:sz w:val="20"/>
                <w:szCs w:val="20"/>
                <w:color w:val="auto"/>
              </w:rPr>
            </w:pPr>
            <w:r>
              <w:rPr>
                <w:rFonts w:ascii="Times New Roman" w:cs="Times New Roman" w:eastAsia="Times New Roman" w:hAnsi="Times New Roman"/>
                <w:sz w:val="15"/>
                <w:szCs w:val="15"/>
                <w:color w:val="auto"/>
              </w:rPr>
              <w:t>4.1</w:t>
            </w:r>
          </w:p>
        </w:tc>
        <w:tc>
          <w:tcPr>
            <w:tcW w:w="1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800" w:type="dxa"/>
            <w:vAlign w:val="bottom"/>
            <w:tcBorders>
              <w:right w:val="single" w:sz="8" w:color="auto"/>
            </w:tcBorders>
            <w:gridSpan w:val="3"/>
          </w:tcPr>
          <w:p>
            <w:pPr>
              <w:spacing w:after="0" w:line="132" w:lineRule="exact"/>
              <w:rPr>
                <w:sz w:val="20"/>
                <w:szCs w:val="20"/>
                <w:color w:val="auto"/>
              </w:rPr>
            </w:pPr>
            <w:r>
              <w:rPr>
                <w:rFonts w:ascii="Times New Roman" w:cs="Times New Roman" w:eastAsia="Times New Roman" w:hAnsi="Times New Roman"/>
                <w:sz w:val="15"/>
                <w:szCs w:val="15"/>
                <w:color w:val="0000FF"/>
              </w:rPr>
              <w:t>Form of Pre-Funded Warrant</w:t>
            </w:r>
          </w:p>
        </w:tc>
      </w:tr>
      <w:tr>
        <w:trPr>
          <w:trHeight w:val="128"/>
        </w:trPr>
        <w:tc>
          <w:tcPr>
            <w:tcW w:w="12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100" w:type="dxa"/>
            <w:vAlign w:val="bottom"/>
            <w:tcBorders>
              <w:top w:val="single" w:sz="8" w:color="0000FF"/>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6320" w:type="dxa"/>
            <w:vAlign w:val="bottom"/>
            <w:tcBorders>
              <w:bottom w:val="single" w:sz="8" w:color="auto"/>
              <w:right w:val="single" w:sz="8" w:color="auto"/>
            </w:tcBorders>
          </w:tcPr>
          <w:p>
            <w:pPr>
              <w:spacing w:after="0"/>
              <w:rPr>
                <w:sz w:val="11"/>
                <w:szCs w:val="11"/>
                <w:color w:val="auto"/>
              </w:rPr>
            </w:pPr>
          </w:p>
        </w:tc>
      </w:tr>
      <w:tr>
        <w:trPr>
          <w:trHeight w:val="169"/>
        </w:trPr>
        <w:tc>
          <w:tcPr>
            <w:tcW w:w="12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right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Form of Series A-1 Preferred Investment Option</w:t>
            </w:r>
          </w:p>
        </w:tc>
      </w:tr>
      <w:tr>
        <w:trPr>
          <w:trHeight w:val="128"/>
        </w:trPr>
        <w:tc>
          <w:tcPr>
            <w:tcW w:w="12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100" w:type="dxa"/>
            <w:vAlign w:val="bottom"/>
            <w:tcBorders>
              <w:top w:val="single" w:sz="8" w:color="0000FF"/>
              <w:bottom w:val="single" w:sz="8" w:color="auto"/>
            </w:tcBorders>
          </w:tcPr>
          <w:p>
            <w:pPr>
              <w:spacing w:after="0"/>
              <w:rPr>
                <w:sz w:val="11"/>
                <w:szCs w:val="11"/>
                <w:color w:val="auto"/>
              </w:rPr>
            </w:pPr>
          </w:p>
        </w:tc>
        <w:tc>
          <w:tcPr>
            <w:tcW w:w="1380" w:type="dxa"/>
            <w:vAlign w:val="bottom"/>
            <w:tcBorders>
              <w:top w:val="single" w:sz="8" w:color="0000FF"/>
              <w:bottom w:val="single" w:sz="8" w:color="auto"/>
            </w:tcBorders>
          </w:tcPr>
          <w:p>
            <w:pPr>
              <w:spacing w:after="0"/>
              <w:rPr>
                <w:sz w:val="11"/>
                <w:szCs w:val="11"/>
                <w:color w:val="auto"/>
              </w:rPr>
            </w:pPr>
          </w:p>
        </w:tc>
        <w:tc>
          <w:tcPr>
            <w:tcW w:w="6320" w:type="dxa"/>
            <w:vAlign w:val="bottom"/>
            <w:tcBorders>
              <w:bottom w:val="single" w:sz="8" w:color="auto"/>
              <w:right w:val="single" w:sz="8" w:color="auto"/>
            </w:tcBorders>
          </w:tcPr>
          <w:p>
            <w:pPr>
              <w:spacing w:after="0"/>
              <w:rPr>
                <w:sz w:val="11"/>
                <w:szCs w:val="11"/>
                <w:color w:val="auto"/>
              </w:rPr>
            </w:pPr>
          </w:p>
        </w:tc>
      </w:tr>
      <w:tr>
        <w:trPr>
          <w:trHeight w:val="169"/>
        </w:trPr>
        <w:tc>
          <w:tcPr>
            <w:tcW w:w="12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right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Form of Series A-2 Preferred Investment Option</w:t>
            </w:r>
          </w:p>
        </w:tc>
      </w:tr>
      <w:tr>
        <w:trPr>
          <w:trHeight w:val="128"/>
        </w:trPr>
        <w:tc>
          <w:tcPr>
            <w:tcW w:w="12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100" w:type="dxa"/>
            <w:vAlign w:val="bottom"/>
            <w:tcBorders>
              <w:top w:val="single" w:sz="8" w:color="0000FF"/>
              <w:bottom w:val="single" w:sz="8" w:color="auto"/>
            </w:tcBorders>
          </w:tcPr>
          <w:p>
            <w:pPr>
              <w:spacing w:after="0"/>
              <w:rPr>
                <w:sz w:val="11"/>
                <w:szCs w:val="11"/>
                <w:color w:val="auto"/>
              </w:rPr>
            </w:pPr>
          </w:p>
        </w:tc>
        <w:tc>
          <w:tcPr>
            <w:tcW w:w="1380" w:type="dxa"/>
            <w:vAlign w:val="bottom"/>
            <w:tcBorders>
              <w:top w:val="single" w:sz="8" w:color="0000FF"/>
              <w:bottom w:val="single" w:sz="8" w:color="auto"/>
            </w:tcBorders>
          </w:tcPr>
          <w:p>
            <w:pPr>
              <w:spacing w:after="0"/>
              <w:rPr>
                <w:sz w:val="11"/>
                <w:szCs w:val="11"/>
                <w:color w:val="auto"/>
              </w:rPr>
            </w:pPr>
          </w:p>
        </w:tc>
        <w:tc>
          <w:tcPr>
            <w:tcW w:w="6320" w:type="dxa"/>
            <w:vAlign w:val="bottom"/>
            <w:tcBorders>
              <w:bottom w:val="single" w:sz="8" w:color="auto"/>
              <w:right w:val="single" w:sz="8" w:color="auto"/>
            </w:tcBorders>
          </w:tcPr>
          <w:p>
            <w:pPr>
              <w:spacing w:after="0"/>
              <w:rPr>
                <w:sz w:val="11"/>
                <w:szCs w:val="11"/>
                <w:color w:val="auto"/>
              </w:rPr>
            </w:pPr>
          </w:p>
        </w:tc>
      </w:tr>
      <w:tr>
        <w:trPr>
          <w:trHeight w:val="755"/>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8"/>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80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19"/>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840" w:type="dxa"/>
            <w:vAlign w:val="bottom"/>
            <w:tcBorders>
              <w:bottom w:val="single" w:sz="8" w:color="auto"/>
              <w:right w:val="single" w:sz="8" w:color="auto"/>
            </w:tcBorders>
          </w:tcPr>
          <w:p>
            <w:pPr>
              <w:spacing w:after="0"/>
              <w:rPr>
                <w:sz w:val="10"/>
                <w:szCs w:val="10"/>
                <w:color w:val="auto"/>
              </w:rPr>
            </w:pPr>
          </w:p>
        </w:tc>
      </w:tr>
      <w:tr>
        <w:trPr>
          <w:trHeight w:val="132"/>
        </w:trPr>
        <w:tc>
          <w:tcPr>
            <w:tcW w:w="1260" w:type="dxa"/>
            <w:vAlign w:val="bottom"/>
            <w:tcBorders>
              <w:right w:val="single" w:sz="8" w:color="auto"/>
            </w:tcBorders>
          </w:tcPr>
          <w:p>
            <w:pPr>
              <w:ind w:left="40"/>
              <w:spacing w:after="0" w:line="132" w:lineRule="exact"/>
              <w:rPr>
                <w:sz w:val="20"/>
                <w:szCs w:val="20"/>
                <w:color w:val="auto"/>
              </w:rPr>
            </w:pPr>
            <w:r>
              <w:rPr>
                <w:rFonts w:ascii="Times New Roman" w:cs="Times New Roman" w:eastAsia="Times New Roman" w:hAnsi="Times New Roman"/>
                <w:sz w:val="15"/>
                <w:szCs w:val="15"/>
                <w:color w:val="auto"/>
              </w:rPr>
              <w:t>4.4</w:t>
            </w:r>
          </w:p>
        </w:tc>
        <w:tc>
          <w:tcPr>
            <w:tcW w:w="1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800" w:type="dxa"/>
            <w:vAlign w:val="bottom"/>
            <w:tcBorders>
              <w:right w:val="single" w:sz="8" w:color="auto"/>
            </w:tcBorders>
            <w:gridSpan w:val="5"/>
          </w:tcPr>
          <w:p>
            <w:pPr>
              <w:spacing w:after="0" w:line="132" w:lineRule="exact"/>
              <w:rPr>
                <w:sz w:val="20"/>
                <w:szCs w:val="20"/>
                <w:color w:val="auto"/>
              </w:rPr>
            </w:pPr>
            <w:r>
              <w:rPr>
                <w:rFonts w:ascii="Times New Roman" w:cs="Times New Roman" w:eastAsia="Times New Roman" w:hAnsi="Times New Roman"/>
                <w:sz w:val="15"/>
                <w:szCs w:val="15"/>
                <w:color w:val="0000FF"/>
              </w:rPr>
              <w:t>Form of Placement Agent Preferred Investment Option</w:t>
            </w:r>
          </w:p>
        </w:tc>
      </w:tr>
      <w:tr>
        <w:trPr>
          <w:trHeight w:val="128"/>
        </w:trPr>
        <w:tc>
          <w:tcPr>
            <w:tcW w:w="12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0" w:type="dxa"/>
            <w:vAlign w:val="bottom"/>
            <w:tcBorders>
              <w:top w:val="single" w:sz="8" w:color="0000FF"/>
              <w:bottom w:val="single" w:sz="8" w:color="auto"/>
            </w:tcBorders>
          </w:tcPr>
          <w:p>
            <w:pPr>
              <w:spacing w:after="0"/>
              <w:rPr>
                <w:sz w:val="11"/>
                <w:szCs w:val="11"/>
                <w:color w:val="auto"/>
              </w:rPr>
            </w:pPr>
          </w:p>
        </w:tc>
        <w:tc>
          <w:tcPr>
            <w:tcW w:w="280" w:type="dxa"/>
            <w:vAlign w:val="bottom"/>
            <w:tcBorders>
              <w:top w:val="single" w:sz="8" w:color="0000FF"/>
              <w:bottom w:val="single" w:sz="8" w:color="auto"/>
            </w:tcBorders>
          </w:tcPr>
          <w:p>
            <w:pPr>
              <w:spacing w:after="0"/>
              <w:rPr>
                <w:sz w:val="11"/>
                <w:szCs w:val="11"/>
                <w:color w:val="auto"/>
              </w:rPr>
            </w:pPr>
          </w:p>
        </w:tc>
        <w:tc>
          <w:tcPr>
            <w:tcW w:w="180" w:type="dxa"/>
            <w:vAlign w:val="bottom"/>
            <w:tcBorders>
              <w:top w:val="single" w:sz="8" w:color="0000FF"/>
              <w:bottom w:val="single" w:sz="8" w:color="auto"/>
            </w:tcBorders>
          </w:tcPr>
          <w:p>
            <w:pPr>
              <w:spacing w:after="0"/>
              <w:rPr>
                <w:sz w:val="11"/>
                <w:szCs w:val="11"/>
                <w:color w:val="auto"/>
              </w:rPr>
            </w:pPr>
          </w:p>
        </w:tc>
        <w:tc>
          <w:tcPr>
            <w:tcW w:w="1100" w:type="dxa"/>
            <w:vAlign w:val="bottom"/>
            <w:tcBorders>
              <w:top w:val="single" w:sz="8" w:color="0000FF"/>
              <w:bottom w:val="single" w:sz="8" w:color="auto"/>
            </w:tcBorders>
          </w:tcPr>
          <w:p>
            <w:pPr>
              <w:spacing w:after="0"/>
              <w:rPr>
                <w:sz w:val="11"/>
                <w:szCs w:val="11"/>
                <w:color w:val="auto"/>
              </w:rPr>
            </w:pPr>
          </w:p>
        </w:tc>
        <w:tc>
          <w:tcPr>
            <w:tcW w:w="5840" w:type="dxa"/>
            <w:vAlign w:val="bottom"/>
            <w:tcBorders>
              <w:bottom w:val="single" w:sz="8" w:color="auto"/>
              <w:right w:val="single" w:sz="8" w:color="auto"/>
            </w:tcBorders>
          </w:tcPr>
          <w:p>
            <w:pPr>
              <w:spacing w:after="0"/>
              <w:rPr>
                <w:sz w:val="11"/>
                <w:szCs w:val="11"/>
                <w:color w:val="auto"/>
              </w:rPr>
            </w:pPr>
          </w:p>
        </w:tc>
      </w:tr>
      <w:tr>
        <w:trPr>
          <w:trHeight w:val="169"/>
        </w:trPr>
        <w:tc>
          <w:tcPr>
            <w:tcW w:w="12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Form Securities Purchase Agreement</w:t>
            </w:r>
          </w:p>
        </w:tc>
      </w:tr>
      <w:tr>
        <w:trPr>
          <w:trHeight w:val="128"/>
        </w:trPr>
        <w:tc>
          <w:tcPr>
            <w:tcW w:w="12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0" w:type="dxa"/>
            <w:vAlign w:val="bottom"/>
            <w:tcBorders>
              <w:top w:val="single" w:sz="8" w:color="0000FF"/>
              <w:bottom w:val="single" w:sz="8" w:color="auto"/>
            </w:tcBorders>
          </w:tcPr>
          <w:p>
            <w:pPr>
              <w:spacing w:after="0"/>
              <w:rPr>
                <w:sz w:val="11"/>
                <w:szCs w:val="11"/>
                <w:color w:val="auto"/>
              </w:rPr>
            </w:pPr>
          </w:p>
        </w:tc>
        <w:tc>
          <w:tcPr>
            <w:tcW w:w="280" w:type="dxa"/>
            <w:vAlign w:val="bottom"/>
            <w:tcBorders>
              <w:top w:val="single" w:sz="8" w:color="0000FF"/>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840" w:type="dxa"/>
            <w:vAlign w:val="bottom"/>
            <w:tcBorders>
              <w:bottom w:val="single" w:sz="8" w:color="auto"/>
              <w:right w:val="single" w:sz="8" w:color="auto"/>
            </w:tcBorders>
          </w:tcPr>
          <w:p>
            <w:pPr>
              <w:spacing w:after="0"/>
              <w:rPr>
                <w:sz w:val="11"/>
                <w:szCs w:val="11"/>
                <w:color w:val="auto"/>
              </w:rPr>
            </w:pPr>
          </w:p>
        </w:tc>
      </w:tr>
      <w:tr>
        <w:trPr>
          <w:trHeight w:val="169"/>
        </w:trPr>
        <w:tc>
          <w:tcPr>
            <w:tcW w:w="12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Form of Registration Rights Agreement</w:t>
            </w:r>
          </w:p>
        </w:tc>
      </w:tr>
      <w:tr>
        <w:trPr>
          <w:trHeight w:val="128"/>
        </w:trPr>
        <w:tc>
          <w:tcPr>
            <w:tcW w:w="12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0" w:type="dxa"/>
            <w:vAlign w:val="bottom"/>
            <w:tcBorders>
              <w:top w:val="single" w:sz="8" w:color="0000FF"/>
              <w:bottom w:val="single" w:sz="8" w:color="auto"/>
            </w:tcBorders>
          </w:tcPr>
          <w:p>
            <w:pPr>
              <w:spacing w:after="0"/>
              <w:rPr>
                <w:sz w:val="11"/>
                <w:szCs w:val="11"/>
                <w:color w:val="auto"/>
              </w:rPr>
            </w:pPr>
          </w:p>
        </w:tc>
        <w:tc>
          <w:tcPr>
            <w:tcW w:w="280" w:type="dxa"/>
            <w:vAlign w:val="bottom"/>
            <w:tcBorders>
              <w:top w:val="single" w:sz="8" w:color="0000FF"/>
              <w:bottom w:val="single" w:sz="8" w:color="auto"/>
            </w:tcBorders>
          </w:tcPr>
          <w:p>
            <w:pPr>
              <w:spacing w:after="0"/>
              <w:rPr>
                <w:sz w:val="11"/>
                <w:szCs w:val="11"/>
                <w:color w:val="auto"/>
              </w:rPr>
            </w:pPr>
          </w:p>
        </w:tc>
        <w:tc>
          <w:tcPr>
            <w:tcW w:w="180" w:type="dxa"/>
            <w:vAlign w:val="bottom"/>
            <w:tcBorders>
              <w:top w:val="single" w:sz="8" w:color="0000FF"/>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840" w:type="dxa"/>
            <w:vAlign w:val="bottom"/>
            <w:tcBorders>
              <w:bottom w:val="single" w:sz="8" w:color="auto"/>
              <w:right w:val="single" w:sz="8" w:color="auto"/>
            </w:tcBorders>
          </w:tcPr>
          <w:p>
            <w:pPr>
              <w:spacing w:after="0"/>
              <w:rPr>
                <w:sz w:val="11"/>
                <w:szCs w:val="11"/>
                <w:color w:val="auto"/>
              </w:rPr>
            </w:pPr>
          </w:p>
        </w:tc>
      </w:tr>
      <w:tr>
        <w:trPr>
          <w:trHeight w:val="169"/>
        </w:trPr>
        <w:tc>
          <w:tcPr>
            <w:tcW w:w="12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June 11, 2026</w:t>
            </w:r>
          </w:p>
        </w:tc>
      </w:tr>
      <w:tr>
        <w:trPr>
          <w:trHeight w:val="128"/>
        </w:trPr>
        <w:tc>
          <w:tcPr>
            <w:tcW w:w="12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0" w:type="dxa"/>
            <w:vAlign w:val="bottom"/>
            <w:tcBorders>
              <w:top w:val="single" w:sz="8" w:color="0000FF"/>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840" w:type="dxa"/>
            <w:vAlign w:val="bottom"/>
            <w:tcBorders>
              <w:bottom w:val="single" w:sz="8" w:color="auto"/>
              <w:right w:val="single" w:sz="8" w:color="auto"/>
            </w:tcBorders>
          </w:tcPr>
          <w:p>
            <w:pPr>
              <w:spacing w:after="0"/>
              <w:rPr>
                <w:sz w:val="11"/>
                <w:szCs w:val="11"/>
                <w:color w:val="auto"/>
              </w:rPr>
            </w:pPr>
          </w:p>
        </w:tc>
      </w:tr>
      <w:tr>
        <w:trPr>
          <w:trHeight w:val="169"/>
        </w:trPr>
        <w:tc>
          <w:tcPr>
            <w:tcW w:w="126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99.2</w:t>
            </w: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June 12, 2026</w:t>
            </w:r>
          </w:p>
        </w:tc>
      </w:tr>
      <w:tr>
        <w:trPr>
          <w:trHeight w:val="128"/>
        </w:trPr>
        <w:tc>
          <w:tcPr>
            <w:tcW w:w="12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0" w:type="dxa"/>
            <w:vAlign w:val="bottom"/>
            <w:tcBorders>
              <w:top w:val="single" w:sz="8" w:color="0000FF"/>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840" w:type="dxa"/>
            <w:vAlign w:val="bottom"/>
            <w:tcBorders>
              <w:bottom w:val="single" w:sz="8" w:color="auto"/>
              <w:right w:val="single" w:sz="8" w:color="auto"/>
            </w:tcBorders>
          </w:tcPr>
          <w:p>
            <w:pPr>
              <w:spacing w:after="0"/>
              <w:rPr>
                <w:sz w:val="11"/>
                <w:szCs w:val="11"/>
                <w:color w:val="auto"/>
              </w:rPr>
            </w:pPr>
          </w:p>
        </w:tc>
      </w:tr>
      <w:tr>
        <w:trPr>
          <w:trHeight w:val="227"/>
        </w:trPr>
        <w:tc>
          <w:tcPr>
            <w:tcW w:w="1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9"/>
        </w:trPr>
        <w:tc>
          <w:tcPr>
            <w:tcW w:w="126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840" w:type="dxa"/>
            <w:vAlign w:val="bottom"/>
            <w:tcBorders>
              <w:bottom w:val="single" w:sz="8" w:color="auto"/>
              <w:right w:val="single" w:sz="8" w:color="auto"/>
            </w:tcBorders>
          </w:tcPr>
          <w:p>
            <w:pPr>
              <w:spacing w:after="0"/>
              <w:rPr>
                <w:sz w:val="7"/>
                <w:szCs w:val="7"/>
                <w:color w:val="auto"/>
              </w:rPr>
            </w:pPr>
          </w:p>
        </w:tc>
      </w:tr>
      <w:tr>
        <w:trPr>
          <w:trHeight w:val="97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995045</wp:posOffset>
            </wp:positionH>
            <wp:positionV relativeFrom="page">
              <wp:posOffset>486410</wp:posOffset>
            </wp:positionV>
            <wp:extent cx="123825" cy="247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825" cy="2476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ARCADIA BIOSCIENCES, INC.</w:t>
      </w:r>
    </w:p>
    <w:p>
      <w:pPr>
        <w:spacing w:after="0" w:line="376" w:lineRule="exact"/>
        <w:rPr>
          <w:sz w:val="20"/>
          <w:szCs w:val="20"/>
          <w:color w:val="auto"/>
        </w:rPr>
      </w:pPr>
    </w:p>
    <w:p>
      <w:pPr>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J. SCHAEFER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17145</wp:posOffset>
            </wp:positionV>
            <wp:extent cx="32753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Thomas J. Schaefer,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764" w:right="399" w:bottom="1440" w:gutter="0" w:footer="0" w:header="0"/>
        </w:sectPr>
      </w:pPr>
    </w:p>
    <w:bookmarkStart w:id="5" w:name="page6"/>
    <w:bookmarkEnd w:id="5"/>
    <w:p>
      <w:pPr>
        <w:ind w:left="10240"/>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5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PRE-FUNDED COMMON STOCK PURCHASE WARRANT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ectPr>
          <w:pgSz w:w="11900" w:h="16838" w:orient="portrait"/>
          <w:cols w:equalWidth="0" w:num="1">
            <w:col w:w="11240"/>
          </w:cols>
          <w:pgMar w:left="320" w:top="1401" w:right="3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 Shares: 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 Date: June 12, 2026</w:t>
      </w:r>
    </w:p>
    <w:p>
      <w:pPr>
        <w:spacing w:after="0" w:line="1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Initial Exercise Date: June 12, 2026</w:t>
      </w:r>
    </w:p>
    <w:p>
      <w:pPr>
        <w:spacing w:after="0" w:line="200" w:lineRule="exact"/>
        <w:rPr>
          <w:sz w:val="20"/>
          <w:szCs w:val="20"/>
          <w:color w:val="auto"/>
        </w:rPr>
      </w:pPr>
    </w:p>
    <w:p>
      <w:pPr>
        <w:sectPr>
          <w:pgSz w:w="11900" w:h="16838" w:orient="portrait"/>
          <w:cols w:equalWidth="0" w:num="2">
            <w:col w:w="3160" w:space="720"/>
            <w:col w:w="7360"/>
          </w:cols>
          <w:pgMar w:left="320" w:top="1401" w:right="339" w:bottom="1440" w:gutter="0" w:footer="0" w:header="0"/>
          <w:type w:val="continuous"/>
        </w:sectPr>
      </w:pPr>
    </w:p>
    <w:p>
      <w:pPr>
        <w:spacing w:after="0" w:line="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THIS PRE-FUNDED COMMON STOCK PURCHASE WARRANT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certifies that, for value received, _____________ or its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is entitled, upon the terms and subject to the limitations on exercise and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the conditions hereinafter set forth, at any time on or after the date hereof (the “</w:t>
      </w:r>
      <w:r>
        <w:rPr>
          <w:rFonts w:ascii="Times New Roman" w:cs="Times New Roman" w:eastAsia="Times New Roman" w:hAnsi="Times New Roman"/>
          <w:sz w:val="22"/>
          <w:szCs w:val="22"/>
          <w:u w:val="single" w:color="auto"/>
          <w:color w:val="auto"/>
        </w:rPr>
        <w:t>Initial Exercise Date</w:t>
      </w:r>
      <w:r>
        <w:rPr>
          <w:rFonts w:ascii="Times New Roman" w:cs="Times New Roman" w:eastAsia="Times New Roman" w:hAnsi="Times New Roman"/>
          <w:sz w:val="22"/>
          <w:szCs w:val="22"/>
          <w:color w:val="auto"/>
        </w:rPr>
        <w:t>”) until this Warrant is exercised in full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but not thereafter, to subscribe for and purchase from Arcadia Biosciences,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up to ______ shares (as subject to adjustment hereunder,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of the</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Company’s 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purchase price of one share of Common Stock under this Warrant shall be equal to the Exercise Price, as defined in Section 2(b).</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June 11, 2026, among the Company and the purchasers signatory thereto.</w:t>
      </w:r>
    </w:p>
    <w:p>
      <w:pPr>
        <w:spacing w:after="0" w:line="204"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jc w:val="both"/>
        <w:ind w:left="760" w:firstLine="745"/>
        <w:spacing w:after="0" w:line="235" w:lineRule="auto"/>
        <w:tabs>
          <w:tab w:leader="none" w:pos="204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Warrant</w:t>
      </w:r>
      <w:r>
        <w:rPr>
          <w:rFonts w:ascii="Times New Roman" w:cs="Times New Roman" w:eastAsia="Times New Roman" w:hAnsi="Times New Roman"/>
          <w:sz w:val="22"/>
          <w:szCs w:val="22"/>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22"/>
          <w:szCs w:val="22"/>
          <w:u w:val="single" w:color="auto"/>
          <w:color w:val="auto"/>
        </w:rPr>
        <w:t>Notice of Exercise</w:t>
      </w:r>
      <w:r>
        <w:rPr>
          <w:rFonts w:ascii="Times New Roman" w:cs="Times New Roman" w:eastAsia="Times New Roman" w:hAnsi="Times New Roman"/>
          <w:sz w:val="22"/>
          <w:szCs w:val="22"/>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type w:val="continuous"/>
        </w:sectPr>
      </w:pPr>
    </w:p>
    <w:bookmarkStart w:id="6" w:name="page7"/>
    <w:bookmarkEnd w:id="6"/>
    <w:p>
      <w:pPr>
        <w:jc w:val="both"/>
        <w:ind w:left="320"/>
        <w:spacing w:after="0" w:line="232" w:lineRule="auto"/>
        <w:rPr>
          <w:sz w:val="20"/>
          <w:szCs w:val="20"/>
          <w:color w:val="auto"/>
        </w:rPr>
      </w:pPr>
      <w:r>
        <w:rPr>
          <w:rFonts w:ascii="Times New Roman" w:cs="Times New Roman" w:eastAsia="Times New Roman" w:hAnsi="Times New Roman"/>
          <w:sz w:val="22"/>
          <w:szCs w:val="22"/>
          <w:color w:val="auto"/>
        </w:rPr>
        <w:t xml:space="preserve">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22"/>
          <w:szCs w:val="22"/>
          <w:b w:val="1"/>
          <w:bCs w:val="1"/>
          <w:color w:val="auto"/>
        </w:rPr>
        <w:t>The Holder and any assignee, by acceptance of this Warrant, acknowledge and agree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4" w:lineRule="exact"/>
        <w:rPr>
          <w:sz w:val="20"/>
          <w:szCs w:val="20"/>
          <w:color w:val="auto"/>
        </w:rPr>
      </w:pPr>
    </w:p>
    <w:p>
      <w:pPr>
        <w:jc w:val="both"/>
        <w:ind w:left="320" w:firstLine="745"/>
        <w:spacing w:after="0" w:line="234" w:lineRule="auto"/>
        <w:tabs>
          <w:tab w:leader="none" w:pos="160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320" w:firstLine="745"/>
        <w:spacing w:after="0" w:line="242" w:lineRule="auto"/>
        <w:tabs>
          <w:tab w:leader="none" w:pos="160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77" w:lineRule="exact"/>
        <w:rPr>
          <w:rFonts w:ascii="Times New Roman" w:cs="Times New Roman" w:eastAsia="Times New Roman" w:hAnsi="Times New Roman"/>
          <w:sz w:val="22"/>
          <w:szCs w:val="22"/>
          <w:color w:val="auto"/>
        </w:rPr>
      </w:pPr>
    </w:p>
    <w:p>
      <w:pPr>
        <w:ind w:left="1720" w:hanging="653"/>
        <w:spacing w:after="0" w:line="234" w:lineRule="auto"/>
        <w:tabs>
          <w:tab w:leader="none" w:pos="142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7" w:name="page8"/>
    <w:bookmarkEnd w:id="7"/>
    <w:p>
      <w:pPr>
        <w:jc w:val="both"/>
        <w:ind w:left="1720"/>
        <w:spacing w:after="0" w:line="235" w:lineRule="auto"/>
        <w:rPr>
          <w:sz w:val="20"/>
          <w:szCs w:val="20"/>
          <w:color w:val="auto"/>
        </w:rPr>
      </w:pPr>
      <w:r>
        <w:rPr>
          <w:rFonts w:ascii="Times New Roman" w:cs="Times New Roman" w:eastAsia="Times New Roman" w:hAnsi="Times New Roman"/>
          <w:sz w:val="22"/>
          <w:szCs w:val="22"/>
          <w:color w:val="auto"/>
        </w:rPr>
        <w:t>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11" w:lineRule="exact"/>
        <w:rPr>
          <w:sz w:val="20"/>
          <w:szCs w:val="20"/>
          <w:color w:val="auto"/>
        </w:rPr>
      </w:pPr>
    </w:p>
    <w:p>
      <w:pPr>
        <w:ind w:left="1400" w:hanging="335"/>
        <w:spacing w:after="0"/>
        <w:tabs>
          <w:tab w:leader="none" w:pos="14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of this Warrant, as adjusted hereunder; and</w:t>
      </w:r>
    </w:p>
    <w:p>
      <w:pPr>
        <w:spacing w:after="0" w:line="231" w:lineRule="exact"/>
        <w:rPr>
          <w:rFonts w:ascii="Times New Roman" w:cs="Times New Roman" w:eastAsia="Times New Roman" w:hAnsi="Times New Roman"/>
          <w:sz w:val="22"/>
          <w:szCs w:val="22"/>
          <w:color w:val="auto"/>
        </w:rPr>
      </w:pPr>
    </w:p>
    <w:p>
      <w:pPr>
        <w:ind w:left="1720" w:hanging="653"/>
        <w:spacing w:after="0" w:line="305" w:lineRule="auto"/>
        <w:tabs>
          <w:tab w:leader="none" w:pos="14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the number of Warrant Shares that would be issuable upon exercise of this Warrant in accordance with the terms of this Warrant if such exercise were by means of a cash exercise rather than a cashless exercise.</w:t>
      </w:r>
    </w:p>
    <w:p>
      <w:pPr>
        <w:spacing w:after="0" w:line="143" w:lineRule="exact"/>
        <w:rPr>
          <w:sz w:val="20"/>
          <w:szCs w:val="20"/>
          <w:color w:val="auto"/>
        </w:rPr>
      </w:pPr>
    </w:p>
    <w:p>
      <w:pPr>
        <w:jc w:val="both"/>
        <w:ind w:left="320"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“Bid Price</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mutually determined by the Company and the Holder, provided that, if the Company and the Holder are unable to agree upon the fair market value of such security, then the fair market value will be determined by an independent appraiser selected in good faith by the Purchasers of a majority in interest of the Securities then outstanding (based on the number of shares of Common Stock underlying the Warrants) and reasonably acceptable to the Company, the fees and expenses of which shall be paid by the Company.</w:t>
      </w:r>
    </w:p>
    <w:p>
      <w:pPr>
        <w:spacing w:after="0" w:line="186" w:lineRule="exact"/>
        <w:rPr>
          <w:sz w:val="20"/>
          <w:szCs w:val="20"/>
          <w:color w:val="auto"/>
        </w:rPr>
      </w:pPr>
    </w:p>
    <w:p>
      <w:pPr>
        <w:jc w:val="both"/>
        <w:ind w:left="320" w:firstLine="749"/>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VWAP</w:t>
      </w:r>
      <w:r>
        <w:rPr>
          <w:rFonts w:ascii="Times New Roman" w:cs="Times New Roman" w:eastAsia="Times New Roman" w:hAnsi="Times New Roman"/>
          <w:sz w:val="20"/>
          <w:szCs w:val="20"/>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8" w:name="page9"/>
    <w:bookmarkEnd w:id="8"/>
    <w:p>
      <w:pPr>
        <w:jc w:val="both"/>
        <w:ind w:left="320"/>
        <w:spacing w:after="0" w:line="242" w:lineRule="auto"/>
        <w:rPr>
          <w:sz w:val="20"/>
          <w:szCs w:val="20"/>
          <w:color w:val="auto"/>
        </w:rPr>
      </w:pPr>
      <w:r>
        <w:rPr>
          <w:rFonts w:ascii="Times New Roman" w:cs="Times New Roman" w:eastAsia="Times New Roman" w:hAnsi="Times New Roman"/>
          <w:sz w:val="22"/>
          <w:szCs w:val="22"/>
          <w:color w:val="auto"/>
        </w:rPr>
        <w:t>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4" w:lineRule="exact"/>
        <w:rPr>
          <w:sz w:val="20"/>
          <w:szCs w:val="20"/>
          <w:color w:val="auto"/>
        </w:rPr>
      </w:pPr>
    </w:p>
    <w:p>
      <w:pPr>
        <w:jc w:val="both"/>
        <w:ind w:left="320" w:firstLine="749"/>
        <w:spacing w:after="0" w:line="238" w:lineRule="auto"/>
        <w:rPr>
          <w:sz w:val="20"/>
          <w:szCs w:val="20"/>
          <w:color w:val="auto"/>
        </w:rPr>
      </w:pPr>
      <w:r>
        <w:rPr>
          <w:rFonts w:ascii="Times New Roman" w:cs="Times New Roman" w:eastAsia="Times New Roman" w:hAnsi="Times New Roman"/>
          <w:sz w:val="22"/>
          <w:szCs w:val="22"/>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209" w:lineRule="exact"/>
        <w:rPr>
          <w:sz w:val="20"/>
          <w:szCs w:val="20"/>
          <w:color w:val="auto"/>
        </w:rPr>
      </w:pPr>
    </w:p>
    <w:p>
      <w:pPr>
        <w:ind w:left="1600" w:hanging="535"/>
        <w:spacing w:after="0"/>
        <w:tabs>
          <w:tab w:leader="none" w:pos="16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1820" w:firstLine="970"/>
        <w:spacing w:after="0" w:line="255" w:lineRule="auto"/>
        <w:tabs>
          <w:tab w:leader="none" w:pos="313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Warrant Shares Upon Exercise</w:t>
      </w:r>
      <w:r>
        <w:rPr>
          <w:rFonts w:ascii="Times New Roman" w:cs="Times New Roman" w:eastAsia="Times New Roman" w:hAnsi="Times New Roman"/>
          <w:sz w:val="20"/>
          <w:szCs w:val="20"/>
          <w:color w:val="auto"/>
        </w:rPr>
        <w:t>. Following delivery of the Notice of Exercise,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0"/>
          <w:szCs w:val="20"/>
          <w:u w:val="single" w:color="auto"/>
          <w:color w:val="auto"/>
        </w:rPr>
        <w:t>DWAC</w:t>
      </w:r>
      <w:r>
        <w:rPr>
          <w:rFonts w:ascii="Times New Roman" w:cs="Times New Roman" w:eastAsia="Times New Roman" w:hAnsi="Times New Roman"/>
          <w:sz w:val="20"/>
          <w:szCs w:val="20"/>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20"/>
          <w:szCs w:val="20"/>
          <w:u w:val="single" w:color="auto"/>
          <w:color w:val="auto"/>
        </w:rPr>
        <w:t>Warrant Share Delivery Date</w:t>
      </w:r>
      <w:r>
        <w:rPr>
          <w:rFonts w:ascii="Times New Roman" w:cs="Times New Roman" w:eastAsia="Times New Roman" w:hAnsi="Times New Roman"/>
          <w:sz w:val="20"/>
          <w:szCs w:val="20"/>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after the delivery of the Notice of Exercise and (ii) the number of Trading Days comprising the Standard Settlement Period after the delivery of the Notice of Exercise. If the Holder has paid the aggregate Exercise Price (other than in the case of a cashless exercise) subject to a Notice of Exercise by the Warrant Share Delivery Date and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9" w:name="page10"/>
    <w:bookmarkEnd w:id="9"/>
    <w:p>
      <w:pPr>
        <w:jc w:val="both"/>
        <w:ind w:left="1820"/>
        <w:spacing w:after="0" w:line="261" w:lineRule="auto"/>
        <w:rPr>
          <w:sz w:val="20"/>
          <w:szCs w:val="20"/>
          <w:color w:val="auto"/>
        </w:rPr>
      </w:pPr>
      <w:r>
        <w:rPr>
          <w:rFonts w:ascii="Times New Roman" w:cs="Times New Roman" w:eastAsia="Times New Roman" w:hAnsi="Times New Roman"/>
          <w:sz w:val="20"/>
          <w:szCs w:val="20"/>
          <w:color w:val="auto"/>
        </w:rPr>
        <w:t>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20"/>
          <w:szCs w:val="20"/>
          <w:u w:val="single" w:color="auto"/>
          <w:color w:val="auto"/>
        </w:rPr>
        <w:t>Standard Settlement Period</w:t>
      </w:r>
      <w:r>
        <w:rPr>
          <w:rFonts w:ascii="Times New Roman" w:cs="Times New Roman" w:eastAsia="Times New Roman" w:hAnsi="Times New Roman"/>
          <w:sz w:val="20"/>
          <w:szCs w:val="20"/>
          <w:color w:val="auto"/>
        </w:rPr>
        <w:t>” means the standard settlement period, expressed in a number of Trading Days, on the Company’s primary Trading Market with respect to the Common Stock as in effect on the date of delivery of the Notice of Exercise.</w:t>
      </w:r>
    </w:p>
    <w:p>
      <w:pPr>
        <w:spacing w:after="0" w:line="162" w:lineRule="exact"/>
        <w:rPr>
          <w:sz w:val="20"/>
          <w:szCs w:val="20"/>
          <w:color w:val="auto"/>
        </w:rPr>
      </w:pPr>
    </w:p>
    <w:p>
      <w:pPr>
        <w:jc w:val="both"/>
        <w:ind w:left="1820" w:firstLine="941"/>
        <w:spacing w:after="0" w:line="237" w:lineRule="auto"/>
        <w:tabs>
          <w:tab w:leader="none" w:pos="31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New Warrants Upon Exercise</w:t>
      </w:r>
      <w:r>
        <w:rPr>
          <w:rFonts w:ascii="Times New Roman" w:cs="Times New Roman" w:eastAsia="Times New Roman" w:hAnsi="Times New Roman"/>
          <w:sz w:val="22"/>
          <w:szCs w:val="22"/>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sz w:val="20"/>
          <w:szCs w:val="20"/>
          <w:color w:val="auto"/>
        </w:rPr>
      </w:pPr>
    </w:p>
    <w:p>
      <w:pPr>
        <w:jc w:val="both"/>
        <w:ind w:left="1820" w:firstLine="911"/>
        <w:spacing w:after="0" w:line="238" w:lineRule="auto"/>
        <w:tabs>
          <w:tab w:leader="none" w:pos="31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Warrant Shares pursuant to Section 2(d)(i) by the Warrant Share Delivery Date, then the Holder will have the right to rescind such exercise on or before the second Trading Day following delivery of such Warrant Shares.</w:t>
      </w:r>
    </w:p>
    <w:p>
      <w:pPr>
        <w:spacing w:after="0" w:line="181" w:lineRule="exact"/>
        <w:rPr>
          <w:rFonts w:ascii="Times New Roman" w:cs="Times New Roman" w:eastAsia="Times New Roman" w:hAnsi="Times New Roman"/>
          <w:sz w:val="22"/>
          <w:szCs w:val="22"/>
          <w:color w:val="auto"/>
        </w:rPr>
      </w:pPr>
    </w:p>
    <w:p>
      <w:pPr>
        <w:jc w:val="both"/>
        <w:ind w:left="1820" w:firstLine="917"/>
        <w:spacing w:after="0" w:line="256" w:lineRule="auto"/>
        <w:tabs>
          <w:tab w:leader="none" w:pos="313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for Buy-In on Failure to Timely Deliver Warrant Shares Upon Exercise</w:t>
      </w:r>
      <w:r>
        <w:rPr>
          <w:rFonts w:ascii="Times New Roman" w:cs="Times New Roman" w:eastAsia="Times New Roman" w:hAnsi="Times New Roman"/>
          <w:sz w:val="20"/>
          <w:szCs w:val="20"/>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the aggregate Exercise Price is paid on or before the Warrant Share Delivery Date, other than in the case of a cashless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20"/>
          <w:szCs w:val="20"/>
          <w:u w:val="single" w:color="auto"/>
          <w:color w:val="auto"/>
        </w:rPr>
        <w:t>Buy-In</w:t>
      </w:r>
      <w:r>
        <w:rPr>
          <w:rFonts w:ascii="Times New Roman" w:cs="Times New Roman" w:eastAsia="Times New Roman" w:hAnsi="Times New Roman"/>
          <w:sz w:val="20"/>
          <w:szCs w:val="20"/>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 w:name="page11"/>
    <w:bookmarkEnd w:id="10"/>
    <w:p>
      <w:pPr>
        <w:jc w:val="both"/>
        <w:ind w:left="1820"/>
        <w:spacing w:after="0" w:line="233" w:lineRule="auto"/>
        <w:rPr>
          <w:sz w:val="20"/>
          <w:szCs w:val="20"/>
          <w:color w:val="auto"/>
        </w:rPr>
      </w:pPr>
      <w:r>
        <w:rPr>
          <w:rFonts w:ascii="Times New Roman" w:cs="Times New Roman" w:eastAsia="Times New Roman" w:hAnsi="Times New Roman"/>
          <w:sz w:val="22"/>
          <w:szCs w:val="22"/>
          <w:color w:val="auto"/>
        </w:rPr>
        <w:t>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1" w:lineRule="exact"/>
        <w:rPr>
          <w:sz w:val="20"/>
          <w:szCs w:val="20"/>
          <w:color w:val="auto"/>
        </w:rPr>
      </w:pPr>
    </w:p>
    <w:p>
      <w:pPr>
        <w:jc w:val="both"/>
        <w:ind w:left="1820" w:firstLine="947"/>
        <w:spacing w:after="0" w:line="237" w:lineRule="auto"/>
        <w:tabs>
          <w:tab w:leader="none" w:pos="31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sz w:val="20"/>
          <w:szCs w:val="20"/>
          <w:color w:val="auto"/>
        </w:rPr>
      </w:pPr>
    </w:p>
    <w:p>
      <w:pPr>
        <w:jc w:val="both"/>
        <w:ind w:left="1820" w:firstLine="917"/>
        <w:spacing w:after="0" w:line="258" w:lineRule="auto"/>
        <w:tabs>
          <w:tab w:leader="none" w:pos="313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Charges, Taxes and Expenses</w:t>
      </w:r>
      <w:r>
        <w:rPr>
          <w:rFonts w:ascii="Times New Roman" w:cs="Times New Roman" w:eastAsia="Times New Roman" w:hAnsi="Times New Roman"/>
          <w:sz w:val="20"/>
          <w:szCs w:val="20"/>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3" w:lineRule="exact"/>
        <w:rPr>
          <w:sz w:val="20"/>
          <w:szCs w:val="20"/>
          <w:color w:val="auto"/>
        </w:rPr>
      </w:pPr>
    </w:p>
    <w:p>
      <w:pPr>
        <w:ind w:left="1820" w:firstLine="887"/>
        <w:spacing w:after="0" w:line="255" w:lineRule="auto"/>
        <w:tabs>
          <w:tab w:leader="none" w:pos="313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Warrant, pursuant to the terms hereof.</w:t>
      </w:r>
    </w:p>
    <w:p>
      <w:pPr>
        <w:spacing w:after="0" w:line="162" w:lineRule="exact"/>
        <w:rPr>
          <w:rFonts w:ascii="Times New Roman" w:cs="Times New Roman" w:eastAsia="Times New Roman" w:hAnsi="Times New Roman"/>
          <w:sz w:val="22"/>
          <w:szCs w:val="22"/>
          <w:color w:val="auto"/>
        </w:rPr>
      </w:pPr>
    </w:p>
    <w:p>
      <w:pPr>
        <w:jc w:val="both"/>
        <w:ind w:left="320" w:firstLine="745"/>
        <w:spacing w:after="0" w:line="242" w:lineRule="auto"/>
        <w:tabs>
          <w:tab w:leader="none" w:pos="1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Holder’s Exercise Limitations</w:t>
      </w:r>
      <w:r>
        <w:rPr>
          <w:rFonts w:ascii="Times New Roman" w:cs="Times New Roman" w:eastAsia="Times New Roman" w:hAnsi="Times New Roman"/>
          <w:sz w:val="22"/>
          <w:szCs w:val="22"/>
          <w:color w:val="auto"/>
        </w:rPr>
        <w:t>. The Company shall not effect any exercise of this Warrant, and a Holder shall not have the right to exercise any portion of this Warrant, pursuant to Section 2 or otherwise, to the extent that after giving effect to such</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1" w:name="page12"/>
    <w:bookmarkEnd w:id="11"/>
    <w:p>
      <w:pPr>
        <w:jc w:val="both"/>
        <w:ind w:left="320"/>
        <w:spacing w:after="0" w:line="229" w:lineRule="auto"/>
        <w:rPr>
          <w:sz w:val="20"/>
          <w:szCs w:val="20"/>
          <w:color w:val="auto"/>
        </w:rPr>
      </w:pPr>
      <w:r>
        <w:rPr>
          <w:rFonts w:ascii="Times New Roman" w:cs="Times New Roman" w:eastAsia="Times New Roman" w:hAnsi="Times New Roman"/>
          <w:sz w:val="22"/>
          <w:szCs w:val="22"/>
          <w:color w:val="auto"/>
        </w:rPr>
        <w:t>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2"/>
          <w:szCs w:val="22"/>
          <w:u w:val="single" w:color="auto"/>
          <w:color w:val="auto"/>
        </w:rPr>
        <w:t>Attribution Parties</w:t>
      </w:r>
      <w:r>
        <w:rPr>
          <w:rFonts w:ascii="Times New Roman" w:cs="Times New Roman" w:eastAsia="Times New Roman" w:hAnsi="Times New Roman"/>
          <w:sz w:val="22"/>
          <w:szCs w:val="22"/>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22"/>
          <w:szCs w:val="22"/>
          <w:u w:val="single" w:color="auto"/>
          <w:color w:val="auto"/>
        </w:rPr>
        <w:t>Beneficial Ownership Limitation</w:t>
      </w:r>
      <w:r>
        <w:rPr>
          <w:rFonts w:ascii="Times New Roman" w:cs="Times New Roman" w:eastAsia="Times New Roman" w:hAnsi="Times New Roman"/>
          <w:sz w:val="22"/>
          <w:szCs w:val="22"/>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2" w:name="page13"/>
    <w:bookmarkEnd w:id="12"/>
    <w:p>
      <w:pPr>
        <w:ind w:left="320"/>
        <w:spacing w:after="0"/>
        <w:tabs>
          <w:tab w:leader="none" w:pos="1580" w:val="left"/>
        </w:tabs>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Certain Adjustments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320" w:firstLine="745"/>
        <w:spacing w:after="0" w:line="248" w:lineRule="exact"/>
        <w:tabs>
          <w:tab w:leader="none" w:pos="160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classification.</w:t>
      </w:r>
    </w:p>
    <w:p>
      <w:pPr>
        <w:spacing w:after="0" w:line="155" w:lineRule="exact"/>
        <w:rPr>
          <w:rFonts w:ascii="Times New Roman" w:cs="Times New Roman" w:eastAsia="Times New Roman" w:hAnsi="Times New Roman"/>
          <w:sz w:val="22"/>
          <w:szCs w:val="22"/>
          <w:color w:val="auto"/>
        </w:rPr>
      </w:pPr>
    </w:p>
    <w:p>
      <w:pPr>
        <w:jc w:val="both"/>
        <w:ind w:left="320" w:firstLine="745"/>
        <w:spacing w:after="0" w:line="232" w:lineRule="auto"/>
        <w:tabs>
          <w:tab w:leader="none" w:pos="160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Rights Offerings</w:t>
      </w:r>
      <w:r>
        <w:rPr>
          <w:rFonts w:ascii="Times New Roman" w:cs="Times New Roman" w:eastAsia="Times New Roman" w:hAnsi="Times New Roman"/>
          <w:sz w:val="22"/>
          <w:szCs w:val="22"/>
          <w:color w:val="auto"/>
        </w:rPr>
        <w:t>. In addition to any adjustments pursuant to Section 3(a) above, if at any time the Company grants, issues or sells any Common Stock Equivalents or rights to purchase stock, warrants, securities or other property pro rata to all the record holders of any class of shares of Common Stock (the “</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(such date, the “</w:t>
      </w:r>
      <w:r>
        <w:rPr>
          <w:rFonts w:ascii="Times New Roman" w:cs="Times New Roman" w:eastAsia="Times New Roman" w:hAnsi="Times New Roman"/>
          <w:sz w:val="22"/>
          <w:szCs w:val="22"/>
          <w:u w:val="single" w:color="auto"/>
          <w:color w:val="auto"/>
        </w:rPr>
        <w:t>Rights Determination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the earlier of (i) such time, if ever, as its right thereto would not result in the Holder exceeding the Beneficial Ownership Limitation and (ii) three months after the Rights Determination Date).</w:t>
      </w:r>
    </w:p>
    <w:p>
      <w:pPr>
        <w:spacing w:after="0" w:line="183"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60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Distributions</w:t>
      </w:r>
      <w:r>
        <w:rPr>
          <w:rFonts w:ascii="Times New Roman" w:cs="Times New Roman" w:eastAsia="Times New Roman" w:hAnsi="Times New Roman"/>
          <w:sz w:val="22"/>
          <w:szCs w:val="22"/>
          <w:color w:val="auto"/>
        </w:rPr>
        <w:t>. During such time as this Warrant is outstanding, if the Company shall declare or make any dividend or other distribution of its assets (or rights to acquire its assets) to all holders of shares of Common Stock as a class, by way of return of capital or otherwise (including, without limitation, any distribution of cash, stock or other securities, property or options by way of a dividend, spin off, reclassification,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3" w:name="page14"/>
    <w:bookmarkEnd w:id="13"/>
    <w:p>
      <w:pPr>
        <w:jc w:val="both"/>
        <w:ind w:left="320"/>
        <w:spacing w:after="0" w:line="232" w:lineRule="auto"/>
        <w:rPr>
          <w:sz w:val="20"/>
          <w:szCs w:val="20"/>
          <w:color w:val="auto"/>
        </w:rPr>
      </w:pPr>
      <w:r>
        <w:rPr>
          <w:rFonts w:ascii="Times New Roman" w:cs="Times New Roman" w:eastAsia="Times New Roman" w:hAnsi="Times New Roman"/>
          <w:sz w:val="22"/>
          <w:szCs w:val="22"/>
          <w:color w:val="auto"/>
        </w:rPr>
        <w:t>corporate rearrangement, scheme of arrangement or other similar transaction) (a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sz w:val="20"/>
          <w:szCs w:val="20"/>
          <w:color w:val="auto"/>
        </w:rPr>
      </w:pPr>
    </w:p>
    <w:p>
      <w:pPr>
        <w:jc w:val="both"/>
        <w:ind w:left="320" w:firstLine="745"/>
        <w:spacing w:after="0" w:line="231" w:lineRule="auto"/>
        <w:tabs>
          <w:tab w:leader="none" w:pos="160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Warrant is outstanding, (i) the Company, directly or indirectly, in one or more related transactions effects any merger or consolidation of the Company with or into another Person, (ii) the Company (or its Subsidiaries, taken as a whole), directly or indirectly, effects any sale, lease, exclusive license, assignment, transfer, conveyance or other disposition of all or substantially all of its assets in one or a series of related transactions, other than any such disposition of shares of common stock of Above Food Ingredients Inc.,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receivable as a result of such Fundamental Transaction by a holder of the number of shares of Common Stock for which this Warrant is exercisable immediately prior to such Fundamental Transaction (without regard to any</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4" w:name="page15"/>
    <w:bookmarkEnd w:id="14"/>
    <w:p>
      <w:pPr>
        <w:jc w:val="both"/>
        <w:ind w:left="320"/>
        <w:spacing w:after="0" w:line="231" w:lineRule="auto"/>
        <w:rPr>
          <w:sz w:val="20"/>
          <w:szCs w:val="20"/>
          <w:color w:val="auto"/>
        </w:rPr>
      </w:pPr>
      <w:r>
        <w:rPr>
          <w:rFonts w:ascii="Times New Roman" w:cs="Times New Roman" w:eastAsia="Times New Roman" w:hAnsi="Times New Roman"/>
          <w:sz w:val="22"/>
          <w:szCs w:val="22"/>
          <w:color w:val="auto"/>
        </w:rPr>
        <w:t>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(such entity, or if the Company is the surviving or successor entity then the Company, referred to as the “</w:t>
      </w:r>
      <w:r>
        <w:rPr>
          <w:rFonts w:ascii="Times New Roman" w:cs="Times New Roman" w:eastAsia="Times New Roman" w:hAnsi="Times New Roman"/>
          <w:sz w:val="22"/>
          <w:szCs w:val="22"/>
          <w:u w:val="single" w:color="auto"/>
          <w:color w:val="auto"/>
        </w:rPr>
        <w:t>Successor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187" w:lineRule="exact"/>
        <w:rPr>
          <w:sz w:val="20"/>
          <w:szCs w:val="20"/>
          <w:color w:val="auto"/>
        </w:rPr>
      </w:pPr>
    </w:p>
    <w:p>
      <w:pPr>
        <w:jc w:val="both"/>
        <w:ind w:left="320" w:firstLine="745"/>
        <w:spacing w:after="0" w:line="238" w:lineRule="auto"/>
        <w:tabs>
          <w:tab w:leader="none" w:pos="160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1440" w:hanging="375"/>
        <w:spacing w:after="0"/>
        <w:tabs>
          <w:tab w:leader="none" w:pos="14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5" w:name="page16"/>
    <w:bookmarkEnd w:id="15"/>
    <w:p>
      <w:pPr>
        <w:jc w:val="both"/>
        <w:ind w:left="1820" w:firstLine="970"/>
        <w:spacing w:after="0" w:line="238" w:lineRule="auto"/>
        <w:tabs>
          <w:tab w:leader="none" w:pos="313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to Exercise Price</w:t>
      </w:r>
      <w:r>
        <w:rPr>
          <w:rFonts w:ascii="Times New Roman" w:cs="Times New Roman" w:eastAsia="Times New Roman" w:hAnsi="Times New Roman"/>
          <w:sz w:val="22"/>
          <w:szCs w:val="22"/>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82" w:lineRule="exact"/>
        <w:rPr>
          <w:sz w:val="20"/>
          <w:szCs w:val="20"/>
          <w:color w:val="auto"/>
        </w:rPr>
      </w:pPr>
    </w:p>
    <w:p>
      <w:pPr>
        <w:jc w:val="both"/>
        <w:ind w:left="1820" w:firstLine="941"/>
        <w:spacing w:after="0" w:line="255" w:lineRule="auto"/>
        <w:tabs>
          <w:tab w:leader="none" w:pos="313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to Allow Exercise by Holder</w:t>
      </w:r>
      <w:r>
        <w:rPr>
          <w:rFonts w:ascii="Times New Roman" w:cs="Times New Roman" w:eastAsia="Times New Roman" w:hAnsi="Times New Roman"/>
          <w:sz w:val="20"/>
          <w:szCs w:val="20"/>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tabs>
          <w:tab w:leader="none" w:pos="1580" w:val="left"/>
        </w:tabs>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Transfer of Warrant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6" w:name="page17"/>
    <w:bookmarkEnd w:id="16"/>
    <w:p>
      <w:pPr>
        <w:jc w:val="both"/>
        <w:ind w:left="320" w:firstLine="745"/>
        <w:spacing w:after="0" w:line="232" w:lineRule="auto"/>
        <w:tabs>
          <w:tab w:leader="none" w:pos="160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5"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Warrants</w:t>
      </w:r>
      <w:r>
        <w:rPr>
          <w:rFonts w:ascii="Times New Roman" w:cs="Times New Roman" w:eastAsia="Times New Roman" w:hAnsi="Times New Roman"/>
          <w:sz w:val="22"/>
          <w:szCs w:val="2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78"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60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Company shall register this Warrant, upon records to be maintained by the Company for that purpose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1"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7" w:name="page18"/>
    <w:bookmarkEnd w:id="17"/>
    <w:p>
      <w:pPr>
        <w:jc w:val="both"/>
        <w:ind w:left="320" w:firstLine="745"/>
        <w:spacing w:after="0" w:line="237" w:lineRule="auto"/>
        <w:tabs>
          <w:tab w:leader="none" w:pos="160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by the Holder</w:t>
      </w:r>
      <w:r>
        <w:rPr>
          <w:rFonts w:ascii="Times New Roman" w:cs="Times New Roman" w:eastAsia="Times New Roman" w:hAnsi="Times New Roman"/>
          <w:sz w:val="22"/>
          <w:szCs w:val="22"/>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79" w:lineRule="exact"/>
        <w:rPr>
          <w:sz w:val="20"/>
          <w:szCs w:val="20"/>
          <w:color w:val="auto"/>
        </w:rPr>
      </w:pPr>
    </w:p>
    <w:p>
      <w:pPr>
        <w:ind w:left="320"/>
        <w:spacing w:after="0"/>
        <w:tabs>
          <w:tab w:leader="none" w:pos="1580" w:val="left"/>
        </w:tabs>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320" w:firstLine="745"/>
        <w:spacing w:after="0" w:line="237" w:lineRule="auto"/>
        <w:tabs>
          <w:tab w:leader="none" w:pos="160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78"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Warrant</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22"/>
          <w:szCs w:val="22"/>
          <w:color w:val="auto"/>
        </w:rPr>
      </w:pPr>
    </w:p>
    <w:p>
      <w:pPr>
        <w:jc w:val="both"/>
        <w:ind w:left="320" w:firstLine="745"/>
        <w:spacing w:after="0" w:line="242" w:lineRule="auto"/>
        <w:tabs>
          <w:tab w:leader="none" w:pos="160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7" w:lineRule="exact"/>
        <w:rPr>
          <w:rFonts w:ascii="Times New Roman" w:cs="Times New Roman" w:eastAsia="Times New Roman" w:hAnsi="Times New Roman"/>
          <w:sz w:val="22"/>
          <w:szCs w:val="22"/>
          <w:color w:val="auto"/>
        </w:rPr>
      </w:pPr>
    </w:p>
    <w:p>
      <w:pPr>
        <w:ind w:left="1600" w:hanging="535"/>
        <w:spacing w:after="0"/>
        <w:tabs>
          <w:tab w:leader="none" w:pos="16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060" w:firstLine="1498"/>
        <w:spacing w:after="0" w:line="233" w:lineRule="auto"/>
        <w:rPr>
          <w:sz w:val="20"/>
          <w:szCs w:val="20"/>
          <w:color w:val="auto"/>
        </w:rPr>
      </w:pPr>
      <w:r>
        <w:rPr>
          <w:rFonts w:ascii="Times New Roman" w:cs="Times New Roman" w:eastAsia="Times New Roman" w:hAnsi="Times New Roman"/>
          <w:sz w:val="22"/>
          <w:szCs w:val="22"/>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8" w:name="page19"/>
    <w:bookmarkEnd w:id="18"/>
    <w:p>
      <w:pPr>
        <w:jc w:val="both"/>
        <w:ind w:left="1060"/>
        <w:spacing w:after="0" w:line="255" w:lineRule="auto"/>
        <w:rPr>
          <w:sz w:val="20"/>
          <w:szCs w:val="20"/>
          <w:color w:val="auto"/>
        </w:rPr>
      </w:pPr>
      <w:r>
        <w:rPr>
          <w:rFonts w:ascii="Times New Roman" w:cs="Times New Roman" w:eastAsia="Times New Roman" w:hAnsi="Times New Roman"/>
          <w:sz w:val="22"/>
          <w:szCs w:val="22"/>
          <w:color w:val="auto"/>
        </w:rPr>
        <w:t>fully paid and nonassessable and free from all taxes, liens and charges created by the Company in respect of the issue thereof (other than taxes in respect of any transfer occurring contemporaneously with such issue).</w:t>
      </w:r>
    </w:p>
    <w:p>
      <w:pPr>
        <w:spacing w:after="0" w:line="163" w:lineRule="exact"/>
        <w:rPr>
          <w:sz w:val="20"/>
          <w:szCs w:val="20"/>
          <w:color w:val="auto"/>
        </w:rPr>
      </w:pPr>
    </w:p>
    <w:p>
      <w:pPr>
        <w:jc w:val="both"/>
        <w:ind w:left="1060" w:firstLine="749"/>
        <w:spacing w:after="0" w:line="257" w:lineRule="auto"/>
        <w:rPr>
          <w:sz w:val="20"/>
          <w:szCs w:val="20"/>
          <w:color w:val="auto"/>
        </w:rPr>
      </w:pPr>
      <w:r>
        <w:rPr>
          <w:rFonts w:ascii="Times New Roman" w:cs="Times New Roman" w:eastAsia="Times New Roman" w:hAnsi="Times New Roman"/>
          <w:sz w:val="20"/>
          <w:szCs w:val="20"/>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9" w:lineRule="exact"/>
        <w:rPr>
          <w:sz w:val="20"/>
          <w:szCs w:val="20"/>
          <w:color w:val="auto"/>
        </w:rPr>
      </w:pPr>
    </w:p>
    <w:p>
      <w:pPr>
        <w:jc w:val="both"/>
        <w:ind w:left="1060" w:firstLine="749"/>
        <w:spacing w:after="0" w:line="238"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2" w:lineRule="exact"/>
        <w:rPr>
          <w:sz w:val="20"/>
          <w:szCs w:val="20"/>
          <w:color w:val="auto"/>
        </w:rPr>
      </w:pPr>
    </w:p>
    <w:p>
      <w:pPr>
        <w:ind w:left="320" w:right="20" w:firstLine="745"/>
        <w:spacing w:after="0" w:line="255" w:lineRule="auto"/>
        <w:tabs>
          <w:tab w:leader="none" w:pos="160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Warrant shall be determined in accordance with the provisions of the Purchase Agreement.</w:t>
      </w:r>
    </w:p>
    <w:p>
      <w:pPr>
        <w:spacing w:after="0" w:line="162" w:lineRule="exact"/>
        <w:rPr>
          <w:rFonts w:ascii="Times New Roman" w:cs="Times New Roman" w:eastAsia="Times New Roman" w:hAnsi="Times New Roman"/>
          <w:sz w:val="22"/>
          <w:szCs w:val="22"/>
          <w:color w:val="auto"/>
        </w:rPr>
      </w:pPr>
    </w:p>
    <w:p>
      <w:pPr>
        <w:jc w:val="both"/>
        <w:ind w:left="320" w:firstLine="745"/>
        <w:spacing w:after="0" w:line="242" w:lineRule="auto"/>
        <w:tabs>
          <w:tab w:leader="none" w:pos="160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7" w:lineRule="exact"/>
        <w:rPr>
          <w:rFonts w:ascii="Times New Roman" w:cs="Times New Roman" w:eastAsia="Times New Roman" w:hAnsi="Times New Roman"/>
          <w:sz w:val="22"/>
          <w:szCs w:val="22"/>
          <w:color w:val="auto"/>
        </w:rPr>
      </w:pPr>
    </w:p>
    <w:p>
      <w:pPr>
        <w:jc w:val="both"/>
        <w:ind w:left="320" w:firstLine="745"/>
        <w:spacing w:after="0" w:line="234" w:lineRule="auto"/>
        <w:tabs>
          <w:tab w:leader="none" w:pos="160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or the Company shall operate as a waiver of such right or otherwise prejudice that party’s rights, powers or remedies, notwithstanding the fact that the right to exercise this Warrant terminates on the Termination Date. Without limiting any other provision of this Warrant or the Purchase Agreement, if either party willfully and knowingly fails to comply with any provision of this Warrant, which results in any material damages to the other party, the first party shall pay such amounts as shall be sufficient to cover any costs and expenses including, but not limited to, reasonable attorneys’ fees, including those of appellate proceedings, incurred by the affected party in collecting any amounts due pursuant hereto or in otherwise enforcing any of its rights, powers or remedies hereunder.</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9" w:name="page20"/>
    <w:bookmarkEnd w:id="19"/>
    <w:p>
      <w:pPr>
        <w:ind w:left="320" w:right="20" w:firstLine="745"/>
        <w:spacing w:after="0" w:line="255" w:lineRule="auto"/>
        <w:tabs>
          <w:tab w:leader="none" w:pos="16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document required or permitted to be given or delivered to the Holder by the Company shall be delivered in accordance with the notice provisions of the Purchase Agreement.</w:t>
      </w:r>
    </w:p>
    <w:p>
      <w:pPr>
        <w:spacing w:after="0" w:line="162"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6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1" w:lineRule="exact"/>
        <w:rPr>
          <w:rFonts w:ascii="Times New Roman" w:cs="Times New Roman" w:eastAsia="Times New Roman" w:hAnsi="Times New Roman"/>
          <w:sz w:val="22"/>
          <w:szCs w:val="22"/>
          <w:color w:val="auto"/>
        </w:rPr>
      </w:pPr>
    </w:p>
    <w:p>
      <w:pPr>
        <w:jc w:val="both"/>
        <w:ind w:left="320" w:firstLine="745"/>
        <w:spacing w:after="0" w:line="237" w:lineRule="auto"/>
        <w:tabs>
          <w:tab w:leader="none" w:pos="16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8" w:lineRule="exact"/>
        <w:rPr>
          <w:rFonts w:ascii="Times New Roman" w:cs="Times New Roman" w:eastAsia="Times New Roman" w:hAnsi="Times New Roman"/>
          <w:sz w:val="22"/>
          <w:szCs w:val="22"/>
          <w:color w:val="auto"/>
        </w:rPr>
      </w:pPr>
    </w:p>
    <w:p>
      <w:pPr>
        <w:jc w:val="both"/>
        <w:ind w:left="320" w:firstLine="745"/>
        <w:spacing w:after="0" w:line="270" w:lineRule="auto"/>
        <w:tabs>
          <w:tab w:leader="none" w:pos="160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50" w:lineRule="exact"/>
        <w:rPr>
          <w:rFonts w:ascii="Times New Roman" w:cs="Times New Roman" w:eastAsia="Times New Roman" w:hAnsi="Times New Roman"/>
          <w:sz w:val="20"/>
          <w:szCs w:val="20"/>
          <w:color w:val="auto"/>
        </w:rPr>
      </w:pPr>
    </w:p>
    <w:p>
      <w:pPr>
        <w:jc w:val="both"/>
        <w:ind w:left="320" w:firstLine="745"/>
        <w:spacing w:after="0" w:line="242" w:lineRule="auto"/>
        <w:tabs>
          <w:tab w:leader="none" w:pos="16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Other than Section 2(e) above and this Section 5(l), which may not be amended, modified or waived, this Warrant may be modified or amended or the provisions hereof waived with the written consent of the Company and the Holder.</w:t>
      </w:r>
    </w:p>
    <w:p>
      <w:pPr>
        <w:spacing w:after="0" w:line="177"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6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1" w:lineRule="exact"/>
        <w:rPr>
          <w:rFonts w:ascii="Times New Roman" w:cs="Times New Roman" w:eastAsia="Times New Roman" w:hAnsi="Times New Roman"/>
          <w:sz w:val="22"/>
          <w:szCs w:val="22"/>
          <w:color w:val="auto"/>
        </w:rPr>
      </w:pPr>
    </w:p>
    <w:p>
      <w:pPr>
        <w:ind w:left="320" w:firstLine="745"/>
        <w:spacing w:after="0" w:line="255" w:lineRule="auto"/>
        <w:tabs>
          <w:tab w:leader="none" w:pos="16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Receipt of this Warrant by the Holder shall constitute acceptance of and agreement to all of the terms and conditions contained herein.</w:t>
      </w:r>
    </w:p>
    <w:p>
      <w:pPr>
        <w:spacing w:after="0" w:line="162" w:lineRule="exact"/>
        <w:rPr>
          <w:rFonts w:ascii="Times New Roman" w:cs="Times New Roman" w:eastAsia="Times New Roman" w:hAnsi="Times New Roman"/>
          <w:sz w:val="22"/>
          <w:szCs w:val="22"/>
          <w:color w:val="auto"/>
        </w:rPr>
      </w:pPr>
    </w:p>
    <w:p>
      <w:pPr>
        <w:ind w:left="320" w:right="20" w:firstLine="745"/>
        <w:spacing w:after="0" w:line="255" w:lineRule="auto"/>
        <w:tabs>
          <w:tab w:leader="none" w:pos="16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Warrant are for the convenience of reference only and shall not, for any purpose, be deemed a part of this Warrant.</w:t>
      </w: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w:t>
      </w:r>
    </w:p>
    <w:p>
      <w:pPr>
        <w:spacing w:after="0" w:line="2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20" w:name="page21"/>
    <w:bookmarkEnd w:id="20"/>
    <w:p>
      <w:pPr>
        <w:spacing w:after="0" w:line="208"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By:__________________________________________</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w:t>
      </w:r>
    </w:p>
    <w:p>
      <w:pPr>
        <w:ind w:left="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ARCADIA BIOSCIENCES, INC.</w:t>
      </w:r>
    </w:p>
    <w:p>
      <w:pPr>
        <w:spacing w:after="0" w:line="232" w:lineRule="exact"/>
        <w:rPr>
          <w:sz w:val="20"/>
          <w:szCs w:val="20"/>
          <w:color w:val="auto"/>
        </w:rPr>
      </w:pPr>
    </w:p>
    <w:p>
      <w:pPr>
        <w:jc w:val="both"/>
        <w:ind w:firstLine="1505"/>
        <w:spacing w:after="0" w:line="242" w:lineRule="auto"/>
        <w:tabs>
          <w:tab w:leader="none" w:pos="203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7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(check applicable box):</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 ] in lawful money of the United States; or</w:t>
      </w:r>
    </w:p>
    <w:p>
      <w:pPr>
        <w:spacing w:after="0" w:line="205" w:lineRule="exact"/>
        <w:rPr>
          <w:sz w:val="20"/>
          <w:szCs w:val="20"/>
          <w:color w:val="auto"/>
        </w:rPr>
      </w:pPr>
    </w:p>
    <w:p>
      <w:pPr>
        <w:jc w:val="both"/>
        <w:ind w:left="2260" w:hanging="6"/>
        <w:spacing w:after="0" w:line="279" w:lineRule="auto"/>
        <w:tabs>
          <w:tab w:leader="none" w:pos="245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4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Warrant Shares in the name of the undersigned or in such other name as is specified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Warrant Shares shall be delivered to the following DWAC Account Number:</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jc w:val="both"/>
        <w:ind w:firstLine="870"/>
        <w:spacing w:after="0" w:line="238" w:lineRule="auto"/>
        <w:tabs>
          <w:tab w:leader="none" w:pos="123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Section 2(e) of the Warrant, after giving effect to the number of Warrant Shares issuable upon this exercise of the Warrant, the undersigned will not beneficially own in excess of 4.99% (or 9.99%, if applicable in accordance with Section 2(e)) of the number of shares of Common Stock of the Company outstanding immediately after giving effect to the issuance of such Warrant Shares.</w:t>
      </w:r>
    </w:p>
    <w:p>
      <w:pPr>
        <w:spacing w:after="0" w:line="208" w:lineRule="exact"/>
        <w:rPr>
          <w:rFonts w:ascii="Times New Roman" w:cs="Times New Roman" w:eastAsia="Times New Roman" w:hAnsi="Times New Roman"/>
          <w:sz w:val="22"/>
          <w:szCs w:val="22"/>
          <w:color w:val="auto"/>
        </w:rPr>
      </w:pPr>
    </w:p>
    <w:p>
      <w:pPr>
        <w:ind w:firstLine="870"/>
        <w:spacing w:after="0" w:line="255" w:lineRule="auto"/>
        <w:tabs>
          <w:tab w:leader="none" w:pos="122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The undersigned is an “accredited investor” as defined in Regulation D promulgated under the Securities Act of 1933, as amended.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 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 _________________________________________________</w:t>
      </w:r>
    </w:p>
    <w:p>
      <w:pPr>
        <w:spacing w:after="0"/>
        <w:rPr>
          <w:sz w:val="20"/>
          <w:szCs w:val="20"/>
          <w:color w:val="auto"/>
        </w:rPr>
      </w:pPr>
      <w:r>
        <w:rPr>
          <w:rFonts w:ascii="Times New Roman" w:cs="Times New Roman" w:eastAsia="Times New Roman" w:hAnsi="Times New Roman"/>
          <w:sz w:val="22"/>
          <w:szCs w:val="22"/>
          <w:color w:val="auto"/>
        </w:rPr>
        <w:t>Name of Authorized Signatory: 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Title of Authorized Signatory: ____________________________________________________________________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1075055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759" w:right="1440"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FORM</w:t>
      </w:r>
    </w:p>
    <w:p>
      <w:pPr>
        <w:spacing w:after="0" w:line="13" w:lineRule="exact"/>
        <w:rPr>
          <w:sz w:val="20"/>
          <w:szCs w:val="20"/>
          <w:color w:val="auto"/>
        </w:rPr>
      </w:pPr>
    </w:p>
    <w:p>
      <w:pPr>
        <w:ind w:right="20" w:firstLine="291"/>
        <w:spacing w:after="0" w:line="236" w:lineRule="auto"/>
        <w:rPr>
          <w:sz w:val="20"/>
          <w:szCs w:val="20"/>
          <w:color w:val="auto"/>
        </w:rPr>
      </w:pPr>
      <w:r>
        <w:rPr>
          <w:rFonts w:ascii="Times New Roman" w:cs="Times New Roman" w:eastAsia="Times New Roman" w:hAnsi="Times New Roman"/>
          <w:sz w:val="22"/>
          <w:szCs w:val="22"/>
          <w:i w:val="1"/>
          <w:iCs w:val="1"/>
          <w:color w:val="auto"/>
        </w:rPr>
        <w:t>(To assign the foregoing Warrant, execute this form and supply required information. Do not use this form to exercise the Warrant to purchase shares.)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FOR VALUE RECEIVED, the foregoing Warrant and all rights evidenced thereby are hereby assigned to</w:t>
      </w:r>
    </w:p>
    <w:p>
      <w:pPr>
        <w:spacing w:after="0" w:line="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300" w:type="dxa"/>
            <w:vAlign w:val="bottom"/>
          </w:tcPr>
          <w:p>
            <w:pPr>
              <w:spacing w:after="0"/>
              <w:rPr>
                <w:sz w:val="24"/>
                <w:szCs w:val="24"/>
                <w:color w:val="auto"/>
              </w:rPr>
            </w:pP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434"/>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Address:</w:t>
            </w:r>
          </w:p>
        </w:tc>
        <w:tc>
          <w:tcPr>
            <w:tcW w:w="694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242"/>
        </w:trPr>
        <w:tc>
          <w:tcPr>
            <w:tcW w:w="4300" w:type="dxa"/>
            <w:vAlign w:val="bottom"/>
          </w:tcPr>
          <w:p>
            <w:pPr>
              <w:spacing w:after="0"/>
              <w:rPr>
                <w:sz w:val="21"/>
                <w:szCs w:val="21"/>
                <w:color w:val="auto"/>
              </w:rPr>
            </w:pPr>
          </w:p>
        </w:tc>
        <w:tc>
          <w:tcPr>
            <w:tcW w:w="6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Phone Number:</w:t>
            </w: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Email Address:</w:t>
            </w: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Dated: _______________ __, ______</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Signature:</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Address:</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0"/>
        </w:trPr>
        <w:tc>
          <w:tcPr>
            <w:tcW w:w="43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24" w:name="page25"/>
    <w:bookmarkEnd w:id="24"/>
    <w:p>
      <w:pPr>
        <w:ind w:left="10240"/>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5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SERIES A-1 PREFERRED INVESTMENT OPTION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pacing w:after="0" w:line="20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2"/>
          <w:szCs w:val="22"/>
          <w:color w:val="auto"/>
        </w:rPr>
        <w:t>Preferred Investment Option Shares: ___________</w:t>
      </w:r>
      <w:r>
        <w:rPr>
          <w:sz w:val="20"/>
          <w:szCs w:val="20"/>
          <w:color w:val="auto"/>
        </w:rPr>
        <w:tab/>
      </w:r>
      <w:r>
        <w:rPr>
          <w:rFonts w:ascii="Times New Roman" w:cs="Times New Roman" w:eastAsia="Times New Roman" w:hAnsi="Times New Roman"/>
          <w:sz w:val="20"/>
          <w:szCs w:val="20"/>
          <w:color w:val="auto"/>
        </w:rPr>
        <w:t>Issue Date: June 12, 2026</w:t>
      </w:r>
    </w:p>
    <w:p>
      <w:pPr>
        <w:spacing w:after="0" w:line="200" w:lineRule="exact"/>
        <w:rPr>
          <w:sz w:val="20"/>
          <w:szCs w:val="20"/>
          <w:color w:val="auto"/>
        </w:rPr>
      </w:pPr>
    </w:p>
    <w:p>
      <w:pPr>
        <w:spacing w:after="0" w:line="247" w:lineRule="exact"/>
        <w:rPr>
          <w:sz w:val="20"/>
          <w:szCs w:val="20"/>
          <w:color w:val="auto"/>
        </w:rPr>
      </w:pPr>
    </w:p>
    <w:p>
      <w:pPr>
        <w:jc w:val="both"/>
        <w:ind w:firstLine="1497"/>
        <w:spacing w:after="0" w:line="265" w:lineRule="auto"/>
        <w:rPr>
          <w:sz w:val="20"/>
          <w:szCs w:val="20"/>
          <w:color w:val="auto"/>
        </w:rPr>
      </w:pPr>
      <w:r>
        <w:rPr>
          <w:rFonts w:ascii="Times New Roman" w:cs="Times New Roman" w:eastAsia="Times New Roman" w:hAnsi="Times New Roman"/>
          <w:sz w:val="20"/>
          <w:szCs w:val="20"/>
          <w:color w:val="auto"/>
        </w:rPr>
        <w:t>THIS SERIES A-1 PREFERRED INVESTMENT INVESTMENT OPTION (the “</w:t>
      </w:r>
      <w:r>
        <w:rPr>
          <w:rFonts w:ascii="Times New Roman" w:cs="Times New Roman" w:eastAsia="Times New Roman" w:hAnsi="Times New Roman"/>
          <w:sz w:val="20"/>
          <w:szCs w:val="20"/>
          <w:u w:val="single" w:color="auto"/>
          <w:color w:val="auto"/>
        </w:rPr>
        <w:t>Preferred Investent Option</w:t>
      </w:r>
      <w:r>
        <w:rPr>
          <w:rFonts w:ascii="Times New Roman" w:cs="Times New Roman" w:eastAsia="Times New Roman" w:hAnsi="Times New Roman"/>
          <w:sz w:val="20"/>
          <w:szCs w:val="20"/>
          <w:color w:val="auto"/>
        </w:rPr>
        <w:t>”) certifies that, for value received, _______________ or its assigns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is entitled, upon the terms and subject to the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limitations on exercise and the conditions hereinafter set forth, at any time on or after the Stockholder Approval Date (the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Exercise Date</w:t>
      </w:r>
      <w:r>
        <w:rPr>
          <w:rFonts w:ascii="Times New Roman" w:cs="Times New Roman" w:eastAsia="Times New Roman" w:hAnsi="Times New Roman"/>
          <w:sz w:val="20"/>
          <w:szCs w:val="20"/>
          <w:color w:val="auto"/>
        </w:rPr>
        <w:t>”) and on or prior to 5:00 p.m. (New York City time) on the date that is the five (5) year anniversary of the Initial Exercise Date, provided that, if such date is not a Trading Day, the date that is the immediately following Trading Day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but not thereafter, to subscribe for and purchase from Arcadia Biosciences,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up to ___________ shares (as subject to adjustment hereunder, the “</w:t>
      </w:r>
      <w:r>
        <w:rPr>
          <w:rFonts w:ascii="Times New Roman" w:cs="Times New Roman" w:eastAsia="Times New Roman" w:hAnsi="Times New Roman"/>
          <w:sz w:val="20"/>
          <w:szCs w:val="20"/>
          <w:u w:val="single" w:color="auto"/>
          <w:color w:val="auto"/>
        </w:rPr>
        <w:t>Preferred Investment Option Shares</w:t>
      </w:r>
      <w:r>
        <w:rPr>
          <w:rFonts w:ascii="Times New Roman" w:cs="Times New Roman" w:eastAsia="Times New Roman" w:hAnsi="Times New Roman"/>
          <w:sz w:val="20"/>
          <w:szCs w:val="20"/>
          <w:color w:val="auto"/>
        </w:rPr>
        <w:t>”) of the</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Company’s 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purchase price of one share of Common Stock under this Preferred Investment Option shall be equal to the Exercise Price, as defined in Section 2(b).</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June 11, 2026, among the Company and the purchasers signatory thereto.</w:t>
      </w:r>
    </w:p>
    <w:p>
      <w:pPr>
        <w:spacing w:after="0" w:line="178"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jc w:val="both"/>
        <w:ind w:left="760" w:firstLine="745"/>
        <w:spacing w:after="0" w:line="259" w:lineRule="auto"/>
        <w:tabs>
          <w:tab w:leader="none" w:pos="204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Preferred Investment Option</w:t>
      </w:r>
      <w:r>
        <w:rPr>
          <w:rFonts w:ascii="Times New Roman" w:cs="Times New Roman" w:eastAsia="Times New Roman" w:hAnsi="Times New Roman"/>
          <w:sz w:val="20"/>
          <w:szCs w:val="20"/>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20"/>
          <w:szCs w:val="20"/>
          <w:u w:val="single" w:color="auto"/>
          <w:color w:val="auto"/>
        </w:rPr>
        <w:t>Notice of Exercise</w:t>
      </w:r>
      <w:r>
        <w:rPr>
          <w:rFonts w:ascii="Times New Roman" w:cs="Times New Roman" w:eastAsia="Times New Roman" w:hAnsi="Times New Roman"/>
          <w:sz w:val="20"/>
          <w:szCs w:val="20"/>
          <w:color w:val="auto"/>
        </w:rPr>
        <w:t>”). Within the earlier of (i) one</w:t>
      </w:r>
    </w:p>
    <w:p>
      <w:pPr>
        <w:ind w:left="1060" w:hanging="304"/>
        <w:spacing w:after="0"/>
        <w:tabs>
          <w:tab w:leader="none" w:pos="10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 and (ii) the number of Trading</w:t>
      </w:r>
    </w:p>
    <w:p>
      <w:pPr>
        <w:spacing w:after="0" w:line="3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25" w:name="page26"/>
    <w:bookmarkEnd w:id="25"/>
    <w:p>
      <w:pPr>
        <w:jc w:val="both"/>
        <w:ind w:left="420"/>
        <w:spacing w:after="0" w:line="255" w:lineRule="auto"/>
        <w:rPr>
          <w:sz w:val="20"/>
          <w:szCs w:val="20"/>
          <w:color w:val="auto"/>
        </w:rPr>
      </w:pPr>
      <w:r>
        <w:rPr>
          <w:rFonts w:ascii="Times New Roman" w:cs="Times New Roman" w:eastAsia="Times New Roman" w:hAnsi="Times New Roman"/>
          <w:sz w:val="20"/>
          <w:szCs w:val="20"/>
          <w:color w:val="auto"/>
        </w:rPr>
        <w:t xml:space="preserve">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within three (3) Trading Days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20"/>
          <w:szCs w:val="20"/>
          <w:b w:val="1"/>
          <w:bCs w:val="1"/>
          <w:color w:val="auto"/>
        </w:rPr>
        <w:t>The Holder and any assignee, by acceptance of this Preferred</w:t>
      </w:r>
    </w:p>
    <w:p>
      <w:pPr>
        <w:spacing w:after="0" w:line="238" w:lineRule="exact"/>
        <w:rPr>
          <w:sz w:val="20"/>
          <w:szCs w:val="20"/>
          <w:color w:val="auto"/>
        </w:rPr>
      </w:pPr>
    </w:p>
    <w:p>
      <w:pPr>
        <w:jc w:val="both"/>
        <w:ind w:left="420"/>
        <w:spacing w:after="0" w:line="233" w:lineRule="auto"/>
        <w:rPr>
          <w:sz w:val="20"/>
          <w:szCs w:val="20"/>
          <w:color w:val="auto"/>
        </w:rPr>
      </w:pPr>
      <w:r>
        <w:rPr>
          <w:rFonts w:ascii="Times New Roman" w:cs="Times New Roman" w:eastAsia="Times New Roman" w:hAnsi="Times New Roman"/>
          <w:sz w:val="22"/>
          <w:szCs w:val="22"/>
          <w:b w:val="1"/>
          <w:bCs w:val="1"/>
          <w:color w:val="auto"/>
        </w:rPr>
        <w:t>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79" w:lineRule="exact"/>
        <w:rPr>
          <w:sz w:val="20"/>
          <w:szCs w:val="20"/>
          <w:color w:val="auto"/>
        </w:rPr>
      </w:pPr>
    </w:p>
    <w:p>
      <w:pPr>
        <w:ind w:left="420" w:firstLine="745"/>
        <w:spacing w:after="0" w:line="255" w:lineRule="auto"/>
        <w:tabs>
          <w:tab w:leader="none" w:pos="170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xml:space="preserve">. The exercise price per share of Common Stock under this Preferred Investment Option shall be </w:t>
      </w:r>
      <w:r>
        <w:rPr>
          <w:rFonts w:ascii="Times New Roman" w:cs="Times New Roman" w:eastAsia="Times New Roman" w:hAnsi="Times New Roman"/>
          <w:sz w:val="22"/>
          <w:szCs w:val="22"/>
          <w:b w:val="1"/>
          <w:bCs w:val="1"/>
          <w:color w:val="auto"/>
        </w:rPr>
        <w:t>$0.91</w:t>
      </w:r>
      <w:r>
        <w:rPr>
          <w:rFonts w:ascii="Times New Roman" w:cs="Times New Roman" w:eastAsia="Times New Roman" w:hAnsi="Times New Roman"/>
          <w:sz w:val="22"/>
          <w:szCs w:val="22"/>
          <w:color w:val="auto"/>
        </w:rPr>
        <w:t>,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62"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78" w:lineRule="exact"/>
        <w:rPr>
          <w:rFonts w:ascii="Times New Roman" w:cs="Times New Roman" w:eastAsia="Times New Roman" w:hAnsi="Times New Roman"/>
          <w:sz w:val="22"/>
          <w:szCs w:val="22"/>
          <w:color w:val="auto"/>
        </w:rPr>
      </w:pPr>
    </w:p>
    <w:p>
      <w:pPr>
        <w:ind w:left="1820" w:hanging="653"/>
        <w:spacing w:after="0" w:line="263" w:lineRule="auto"/>
        <w:tabs>
          <w:tab w:leader="none" w:pos="152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26" w:name="page27"/>
    <w:bookmarkEnd w:id="26"/>
    <w:p>
      <w:pPr>
        <w:jc w:val="both"/>
        <w:ind w:left="1820"/>
        <w:spacing w:after="0" w:line="234" w:lineRule="auto"/>
        <w:rPr>
          <w:sz w:val="20"/>
          <w:szCs w:val="20"/>
          <w:color w:val="auto"/>
        </w:rPr>
      </w:pPr>
      <w:r>
        <w:rPr>
          <w:rFonts w:ascii="Times New Roman" w:cs="Times New Roman" w:eastAsia="Times New Roman" w:hAnsi="Times New Roman"/>
          <w:sz w:val="22"/>
          <w:szCs w:val="22"/>
          <w:color w:val="auto"/>
        </w:rPr>
        <w:t>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09" w:lineRule="exact"/>
        <w:rPr>
          <w:sz w:val="20"/>
          <w:szCs w:val="20"/>
          <w:color w:val="auto"/>
        </w:rPr>
      </w:pPr>
    </w:p>
    <w:p>
      <w:pPr>
        <w:ind w:left="1500" w:hanging="335"/>
        <w:spacing w:after="0"/>
        <w:tabs>
          <w:tab w:leader="none" w:pos="15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of this Preferred Investment Option, as adjusted hereunder; and</w:t>
      </w:r>
    </w:p>
    <w:p>
      <w:pPr>
        <w:spacing w:after="0" w:line="231" w:lineRule="exact"/>
        <w:rPr>
          <w:rFonts w:ascii="Times New Roman" w:cs="Times New Roman" w:eastAsia="Times New Roman" w:hAnsi="Times New Roman"/>
          <w:sz w:val="22"/>
          <w:szCs w:val="22"/>
          <w:color w:val="auto"/>
        </w:rPr>
      </w:pPr>
    </w:p>
    <w:p>
      <w:pPr>
        <w:ind w:left="1820" w:hanging="653"/>
        <w:spacing w:after="0" w:line="242" w:lineRule="auto"/>
        <w:tabs>
          <w:tab w:leader="none" w:pos="152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204" w:lineRule="exact"/>
        <w:rPr>
          <w:sz w:val="20"/>
          <w:szCs w:val="20"/>
          <w:color w:val="auto"/>
        </w:rPr>
      </w:pPr>
    </w:p>
    <w:p>
      <w:pPr>
        <w:jc w:val="both"/>
        <w:ind w:left="420"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“Bid Price</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mutually determined by the Company and the Holder, provided that, if the Company and the Holder are unable to agree upon the fair market value of such security, then the fair market value will be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jc w:val="both"/>
        <w:ind w:left="42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27" w:name="page28"/>
    <w:bookmarkEnd w:id="27"/>
    <w:p>
      <w:pPr>
        <w:ind w:left="420"/>
        <w:spacing w:after="0" w:line="265" w:lineRule="auto"/>
        <w:rPr>
          <w:sz w:val="20"/>
          <w:szCs w:val="20"/>
          <w:color w:val="auto"/>
        </w:rPr>
      </w:pPr>
      <w:r>
        <w:rPr>
          <w:rFonts w:ascii="Times New Roman" w:cs="Times New Roman" w:eastAsia="Times New Roman" w:hAnsi="Times New Roman"/>
          <w:sz w:val="20"/>
          <w:szCs w:val="20"/>
          <w:color w:val="auto"/>
        </w:rPr>
        <w:t>the Pink Open Market (“Pink Market”) operated by the OTC Markets, Inc. (or a similar organization or agency succeeding to its functions of reporting prices), the most recent bid price per share of the Common Stock so reported, or</w:t>
      </w:r>
    </w:p>
    <w:p>
      <w:pPr>
        <w:spacing w:after="0" w:line="1" w:lineRule="exact"/>
        <w:rPr>
          <w:sz w:val="20"/>
          <w:szCs w:val="20"/>
          <w:color w:val="auto"/>
        </w:rPr>
      </w:pPr>
    </w:p>
    <w:p>
      <w:pPr>
        <w:jc w:val="both"/>
        <w:ind w:left="420" w:hanging="4"/>
        <w:spacing w:after="0" w:line="234" w:lineRule="auto"/>
        <w:tabs>
          <w:tab w:leader="none" w:pos="75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6" w:lineRule="exact"/>
        <w:rPr>
          <w:sz w:val="20"/>
          <w:szCs w:val="20"/>
          <w:color w:val="auto"/>
        </w:rPr>
      </w:pPr>
    </w:p>
    <w:p>
      <w:pPr>
        <w:jc w:val="both"/>
        <w:ind w:left="420" w:firstLine="749"/>
        <w:spacing w:after="0" w:line="237" w:lineRule="auto"/>
        <w:rPr>
          <w:sz w:val="20"/>
          <w:szCs w:val="20"/>
          <w:color w:val="auto"/>
        </w:rPr>
      </w:pPr>
      <w:r>
        <w:rPr>
          <w:rFonts w:ascii="Times New Roman" w:cs="Times New Roman" w:eastAsia="Times New Roman" w:hAnsi="Times New Roman"/>
          <w:sz w:val="22"/>
          <w:szCs w:val="22"/>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205" w:lineRule="exact"/>
        <w:rPr>
          <w:sz w:val="20"/>
          <w:szCs w:val="20"/>
          <w:color w:val="auto"/>
        </w:rPr>
      </w:pPr>
    </w:p>
    <w:p>
      <w:pPr>
        <w:ind w:left="1700" w:hanging="535"/>
        <w:spacing w:after="0"/>
        <w:tabs>
          <w:tab w:leader="none" w:pos="17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1920" w:firstLine="970"/>
        <w:spacing w:after="0" w:line="255" w:lineRule="auto"/>
        <w:tabs>
          <w:tab w:leader="none" w:pos="323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Preferred Investment Option Shares Upon Exercise</w:t>
      </w:r>
      <w:r>
        <w:rPr>
          <w:rFonts w:ascii="Times New Roman" w:cs="Times New Roman" w:eastAsia="Times New Roman" w:hAnsi="Times New Roman"/>
          <w:sz w:val="20"/>
          <w:szCs w:val="20"/>
          <w:color w:val="auto"/>
        </w:rPr>
        <w:t>. Following delivery of the Notice of Exercise,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0"/>
          <w:szCs w:val="20"/>
          <w:u w:val="single" w:color="auto"/>
          <w:color w:val="auto"/>
        </w:rPr>
        <w:t>DWAC</w:t>
      </w:r>
      <w:r>
        <w:rPr>
          <w:rFonts w:ascii="Times New Roman" w:cs="Times New Roman" w:eastAsia="Times New Roman" w:hAnsi="Times New Roman"/>
          <w:sz w:val="20"/>
          <w:szCs w:val="20"/>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20"/>
          <w:szCs w:val="20"/>
          <w:u w:val="single" w:color="auto"/>
          <w:color w:val="auto"/>
        </w:rPr>
        <w:t>Preferred Investment Option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Delivery Date</w:t>
      </w:r>
      <w:r>
        <w:rPr>
          <w:rFonts w:ascii="Times New Roman" w:cs="Times New Roman" w:eastAsia="Times New Roman" w:hAnsi="Times New Roman"/>
          <w:sz w:val="20"/>
          <w:szCs w:val="20"/>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after the delivery of the Notice of Exercise and (ii) the number of Trading Days comprising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28" w:name="page29"/>
    <w:bookmarkEnd w:id="28"/>
    <w:p>
      <w:pPr>
        <w:jc w:val="both"/>
        <w:ind w:left="1920"/>
        <w:spacing w:after="0" w:line="232" w:lineRule="auto"/>
        <w:rPr>
          <w:sz w:val="20"/>
          <w:szCs w:val="20"/>
          <w:color w:val="auto"/>
        </w:rPr>
      </w:pPr>
      <w:r>
        <w:rPr>
          <w:rFonts w:ascii="Times New Roman" w:cs="Times New Roman" w:eastAsia="Times New Roman" w:hAnsi="Times New Roman"/>
          <w:sz w:val="22"/>
          <w:szCs w:val="22"/>
          <w:color w:val="auto"/>
        </w:rPr>
        <w:t>Standard Settlement Period after the delivery of the Notice of Exercise. If the Holder has paid the aggregate Exercise Price (other than in the case of a cashless exercise) subject to a Notice of Exercise by the Preferred Investment Option Share Delivery Date and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22"/>
          <w:szCs w:val="22"/>
          <w:u w:val="single" w:color="auto"/>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on the Company’s primary Trading Market with respect to the Common Stock as in effect on the date of delivery of the Notice of Exercise.</w:t>
      </w:r>
    </w:p>
    <w:p>
      <w:pPr>
        <w:spacing w:after="0" w:line="184" w:lineRule="exact"/>
        <w:rPr>
          <w:sz w:val="20"/>
          <w:szCs w:val="20"/>
          <w:color w:val="auto"/>
        </w:rPr>
      </w:pPr>
    </w:p>
    <w:p>
      <w:pPr>
        <w:jc w:val="both"/>
        <w:ind w:left="1920" w:firstLine="941"/>
        <w:spacing w:after="0" w:line="235" w:lineRule="auto"/>
        <w:tabs>
          <w:tab w:leader="none" w:pos="323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New Preferred Investment Options Upon Exercise</w:t>
      </w:r>
      <w:r>
        <w:rPr>
          <w:rFonts w:ascii="Times New Roman" w:cs="Times New Roman" w:eastAsia="Times New Roman" w:hAnsi="Times New Roman"/>
          <w:sz w:val="22"/>
          <w:szCs w:val="22"/>
          <w:color w:val="auto"/>
        </w:rPr>
        <w:t>. If this Preferred Investment Option shall have been exercised in part, the Company shall, at the request of a Holder and upon surrender of this Preferred Investment Option,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79" w:lineRule="exact"/>
        <w:rPr>
          <w:sz w:val="20"/>
          <w:szCs w:val="20"/>
          <w:color w:val="auto"/>
        </w:rPr>
      </w:pPr>
    </w:p>
    <w:p>
      <w:pPr>
        <w:jc w:val="both"/>
        <w:ind w:left="1920" w:firstLine="911"/>
        <w:spacing w:after="0" w:line="238" w:lineRule="auto"/>
        <w:tabs>
          <w:tab w:leader="none" w:pos="323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Preferred Investment Option Shares pursuant to Section 2(d)(i) by the Preferred Investment Option Share Delivery Date, then the Holder will have the right to rescind such exercise on or before the second Trading Day following delivery of such Preferred Investment Option Shares.</w:t>
      </w:r>
    </w:p>
    <w:p>
      <w:pPr>
        <w:spacing w:after="0" w:line="181" w:lineRule="exact"/>
        <w:rPr>
          <w:rFonts w:ascii="Times New Roman" w:cs="Times New Roman" w:eastAsia="Times New Roman" w:hAnsi="Times New Roman"/>
          <w:sz w:val="22"/>
          <w:szCs w:val="22"/>
          <w:color w:val="auto"/>
        </w:rPr>
      </w:pPr>
    </w:p>
    <w:p>
      <w:pPr>
        <w:jc w:val="both"/>
        <w:ind w:left="1920" w:firstLine="917"/>
        <w:spacing w:after="0" w:line="235" w:lineRule="auto"/>
        <w:tabs>
          <w:tab w:leader="none" w:pos="323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for Buy-In on Failure to Timely Deliver Preferred Investment Option Shares Upon Exercise</w:t>
      </w:r>
      <w:r>
        <w:rPr>
          <w:rFonts w:ascii="Times New Roman" w:cs="Times New Roman" w:eastAsia="Times New Roman" w:hAnsi="Times New Roman"/>
          <w:sz w:val="22"/>
          <w:szCs w:val="22"/>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the aggregate Exercise Price is paid on or before the Preferred Investment Option Share Delivery Date, other than in the case of a cashless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29" w:name="page30"/>
    <w:bookmarkEnd w:id="29"/>
    <w:p>
      <w:pPr>
        <w:jc w:val="both"/>
        <w:ind w:left="1920"/>
        <w:spacing w:after="0" w:line="231" w:lineRule="auto"/>
        <w:rPr>
          <w:sz w:val="20"/>
          <w:szCs w:val="20"/>
          <w:color w:val="auto"/>
        </w:rPr>
      </w:pPr>
      <w:r>
        <w:rPr>
          <w:rFonts w:ascii="Times New Roman" w:cs="Times New Roman" w:eastAsia="Times New Roman" w:hAnsi="Times New Roman"/>
          <w:sz w:val="22"/>
          <w:szCs w:val="22"/>
          <w:color w:val="auto"/>
        </w:rPr>
        <w:t>exercise),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22"/>
          <w:szCs w:val="22"/>
          <w:u w:val="single" w:color="auto"/>
          <w:color w:val="auto"/>
        </w:rPr>
        <w:t>Buy-In</w:t>
      </w:r>
      <w:r>
        <w:rPr>
          <w:rFonts w:ascii="Times New Roman" w:cs="Times New Roman" w:eastAsia="Times New Roman" w:hAnsi="Times New Roman"/>
          <w:sz w:val="22"/>
          <w:szCs w:val="22"/>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1" w:lineRule="exact"/>
        <w:rPr>
          <w:sz w:val="20"/>
          <w:szCs w:val="20"/>
          <w:color w:val="auto"/>
        </w:rPr>
      </w:pPr>
    </w:p>
    <w:p>
      <w:pPr>
        <w:jc w:val="both"/>
        <w:ind w:left="1920" w:firstLine="947"/>
        <w:spacing w:after="0" w:line="237" w:lineRule="auto"/>
        <w:tabs>
          <w:tab w:leader="none" w:pos="323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sz w:val="20"/>
          <w:szCs w:val="20"/>
          <w:color w:val="auto"/>
        </w:rPr>
      </w:pPr>
    </w:p>
    <w:p>
      <w:pPr>
        <w:jc w:val="both"/>
        <w:ind w:left="1920" w:firstLine="917"/>
        <w:spacing w:after="0" w:line="266" w:lineRule="auto"/>
        <w:tabs>
          <w:tab w:leader="none" w:pos="323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Charges, Taxes and Expenses</w:t>
      </w:r>
      <w:r>
        <w:rPr>
          <w:rFonts w:ascii="Times New Roman" w:cs="Times New Roman" w:eastAsia="Times New Roman" w:hAnsi="Times New Roman"/>
          <w:sz w:val="20"/>
          <w:szCs w:val="20"/>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0" w:name="page31"/>
    <w:bookmarkEnd w:id="30"/>
    <w:p>
      <w:pPr>
        <w:jc w:val="both"/>
        <w:ind w:left="1920"/>
        <w:spacing w:after="0" w:line="234" w:lineRule="auto"/>
        <w:rPr>
          <w:sz w:val="20"/>
          <w:szCs w:val="20"/>
          <w:color w:val="auto"/>
        </w:rPr>
      </w:pPr>
      <w:r>
        <w:rPr>
          <w:rFonts w:ascii="Times New Roman" w:cs="Times New Roman" w:eastAsia="Times New Roman" w:hAnsi="Times New Roman"/>
          <w:sz w:val="22"/>
          <w:szCs w:val="22"/>
          <w:color w:val="auto"/>
        </w:rPr>
        <w:t>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82" w:lineRule="exact"/>
        <w:rPr>
          <w:sz w:val="20"/>
          <w:szCs w:val="20"/>
          <w:color w:val="auto"/>
        </w:rPr>
      </w:pPr>
    </w:p>
    <w:p>
      <w:pPr>
        <w:jc w:val="both"/>
        <w:ind w:left="1920" w:firstLine="887"/>
        <w:spacing w:after="0" w:line="242" w:lineRule="auto"/>
        <w:tabs>
          <w:tab w:leader="none" w:pos="323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Preferred Investment Option, pursuant to the terms hereof.</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55" w:lineRule="auto"/>
        <w:tabs>
          <w:tab w:leader="none" w:pos="161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Holder’s Exercise Limitations</w:t>
      </w:r>
      <w:r>
        <w:rPr>
          <w:rFonts w:ascii="Times New Roman" w:cs="Times New Roman" w:eastAsia="Times New Roman" w:hAnsi="Times New Roman"/>
          <w:sz w:val="20"/>
          <w:szCs w:val="20"/>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0"/>
          <w:szCs w:val="20"/>
          <w:u w:val="single" w:color="auto"/>
          <w:color w:val="auto"/>
        </w:rPr>
        <w:t>Attribution Parties</w:t>
      </w:r>
      <w:r>
        <w:rPr>
          <w:rFonts w:ascii="Times New Roman" w:cs="Times New Roman" w:eastAsia="Times New Roman" w:hAnsi="Times New Roman"/>
          <w:sz w:val="20"/>
          <w:szCs w:val="20"/>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1" w:name="page32"/>
    <w:bookmarkEnd w:id="31"/>
    <w:p>
      <w:pPr>
        <w:jc w:val="both"/>
        <w:ind w:left="420"/>
        <w:spacing w:after="0" w:line="239" w:lineRule="auto"/>
        <w:rPr>
          <w:sz w:val="20"/>
          <w:szCs w:val="20"/>
          <w:color w:val="auto"/>
        </w:rPr>
      </w:pPr>
      <w:r>
        <w:rPr>
          <w:rFonts w:ascii="Times New Roman" w:cs="Times New Roman" w:eastAsia="Times New Roman" w:hAnsi="Times New Roman"/>
          <w:sz w:val="21"/>
          <w:szCs w:val="21"/>
          <w:color w:val="auto"/>
        </w:rPr>
        <w:t>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21"/>
          <w:szCs w:val="21"/>
          <w:u w:val="single" w:color="auto"/>
          <w:color w:val="auto"/>
        </w:rPr>
        <w:t>Beneficial Ownership Limitation</w:t>
      </w:r>
      <w:r>
        <w:rPr>
          <w:rFonts w:ascii="Times New Roman" w:cs="Times New Roman" w:eastAsia="Times New Roman" w:hAnsi="Times New Roman"/>
          <w:sz w:val="21"/>
          <w:szCs w:val="21"/>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188"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Certain Adjustments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1700" w:hanging="535"/>
        <w:spacing w:after="0"/>
        <w:tabs>
          <w:tab w:leader="none" w:pos="17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Preferred Investment Option is</w:t>
      </w:r>
    </w:p>
    <w:p>
      <w:pPr>
        <w:spacing w:after="0" w:line="13" w:lineRule="exact"/>
        <w:rPr>
          <w:rFonts w:ascii="Times New Roman" w:cs="Times New Roman" w:eastAsia="Times New Roman" w:hAnsi="Times New Roman"/>
          <w:sz w:val="22"/>
          <w:szCs w:val="22"/>
          <w:color w:val="auto"/>
        </w:rPr>
      </w:pPr>
    </w:p>
    <w:p>
      <w:pPr>
        <w:jc w:val="both"/>
        <w:ind w:left="420"/>
        <w:spacing w:after="0" w:line="247"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classification.</w:t>
      </w:r>
    </w:p>
    <w:p>
      <w:pPr>
        <w:spacing w:after="0" w:line="145" w:lineRule="exact"/>
        <w:rPr>
          <w:rFonts w:ascii="Times New Roman" w:cs="Times New Roman" w:eastAsia="Times New Roman" w:hAnsi="Times New Roman"/>
          <w:sz w:val="22"/>
          <w:szCs w:val="22"/>
          <w:color w:val="auto"/>
        </w:rPr>
      </w:pPr>
    </w:p>
    <w:p>
      <w:pPr>
        <w:jc w:val="both"/>
        <w:ind w:left="420" w:firstLine="745"/>
        <w:spacing w:after="0" w:line="238" w:lineRule="auto"/>
        <w:tabs>
          <w:tab w:leader="none" w:pos="170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Rights Offerings</w:t>
      </w:r>
      <w:r>
        <w:rPr>
          <w:rFonts w:ascii="Times New Roman" w:cs="Times New Roman" w:eastAsia="Times New Roman" w:hAnsi="Times New Roman"/>
          <w:sz w:val="22"/>
          <w:szCs w:val="22"/>
          <w:color w:val="auto"/>
        </w:rPr>
        <w:t>. In addition to any adjustments pursuant to Section 3(a) above, if at any time the Company grants, issues or sells any Common Stock Equivalents or rights to purchase stock, warrants, securities or other property pro rata to all the record holders of any class of shares of Common Stock (the “</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2" w:name="page33"/>
    <w:bookmarkEnd w:id="32"/>
    <w:p>
      <w:pPr>
        <w:jc w:val="both"/>
        <w:ind w:left="420"/>
        <w:spacing w:after="0" w:line="258" w:lineRule="auto"/>
        <w:rPr>
          <w:sz w:val="20"/>
          <w:szCs w:val="20"/>
          <w:color w:val="auto"/>
        </w:rPr>
      </w:pPr>
      <w:r>
        <w:rPr>
          <w:rFonts w:ascii="Times New Roman" w:cs="Times New Roman" w:eastAsia="Times New Roman" w:hAnsi="Times New Roman"/>
          <w:sz w:val="20"/>
          <w:szCs w:val="20"/>
          <w:color w:val="auto"/>
        </w:rPr>
        <w:t>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(such date, the “</w:t>
      </w:r>
      <w:r>
        <w:rPr>
          <w:rFonts w:ascii="Times New Roman" w:cs="Times New Roman" w:eastAsia="Times New Roman" w:hAnsi="Times New Roman"/>
          <w:sz w:val="20"/>
          <w:szCs w:val="20"/>
          <w:u w:val="single" w:color="auto"/>
          <w:color w:val="auto"/>
        </w:rPr>
        <w:t>Rights Determination Date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the earlier of (i) such time, if ever, as its right thereto would not result in the Holder exceeding the Beneficial Ownership Limitation and (ii) three months after the Rights Determination Date).</w:t>
      </w:r>
    </w:p>
    <w:p>
      <w:pPr>
        <w:spacing w:after="0" w:line="163" w:lineRule="exact"/>
        <w:rPr>
          <w:sz w:val="20"/>
          <w:szCs w:val="20"/>
          <w:color w:val="auto"/>
        </w:rPr>
      </w:pPr>
    </w:p>
    <w:p>
      <w:pPr>
        <w:jc w:val="both"/>
        <w:ind w:left="420" w:firstLine="745"/>
        <w:spacing w:after="0" w:line="232" w:lineRule="auto"/>
        <w:tabs>
          <w:tab w:leader="none" w:pos="170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Distributions</w:t>
      </w:r>
      <w:r>
        <w:rPr>
          <w:rFonts w:ascii="Times New Roman" w:cs="Times New Roman" w:eastAsia="Times New Roman" w:hAnsi="Times New Roman"/>
          <w:sz w:val="22"/>
          <w:szCs w:val="22"/>
          <w:color w:val="auto"/>
        </w:rPr>
        <w:t>. During such time as this Preferred Investment Option is outstanding, if the Company shall declare or make any dividend or other distribution of its assets (or rights to acquire its assets) to all holders of shares of Common Stock as a class,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1" w:lineRule="exact"/>
        <w:rPr>
          <w:rFonts w:ascii="Times New Roman" w:cs="Times New Roman" w:eastAsia="Times New Roman" w:hAnsi="Times New Roman"/>
          <w:sz w:val="22"/>
          <w:szCs w:val="22"/>
          <w:color w:val="auto"/>
        </w:rPr>
      </w:pPr>
    </w:p>
    <w:p>
      <w:pPr>
        <w:jc w:val="both"/>
        <w:ind w:left="420" w:firstLine="745"/>
        <w:spacing w:after="0" w:line="235" w:lineRule="auto"/>
        <w:tabs>
          <w:tab w:leader="none" w:pos="170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Preferred Investment Option is outstanding, (i) the Company, directly or indirectly, in one or more related transactions effects any merger or consolidation of the Company with or into another Person, (ii) the Company (or its Subsidiaries, taken as a whole), directly or indirectly, effects any sale, lease, exclusive license, assignment, transfer, conveyance or other disposition of all or substantially all of its assets in one or a series of related transactions, other than any such disposition of shares of common stock of Above Food Ingredients Inc., (iii) any, direct or indirect, purchase offer, tender offer or exchange offer (whether by the Company or another Person) is completed pursuant to which holders of Common Stock</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3" w:name="page34"/>
    <w:bookmarkEnd w:id="33"/>
    <w:p>
      <w:pPr>
        <w:jc w:val="both"/>
        <w:ind w:left="420"/>
        <w:spacing w:after="0" w:line="231" w:lineRule="auto"/>
        <w:rPr>
          <w:sz w:val="20"/>
          <w:szCs w:val="20"/>
          <w:color w:val="auto"/>
        </w:rPr>
      </w:pPr>
      <w:r>
        <w:rPr>
          <w:rFonts w:ascii="Times New Roman" w:cs="Times New Roman" w:eastAsia="Times New Roman" w:hAnsi="Times New Roman"/>
          <w:sz w:val="22"/>
          <w:szCs w:val="22"/>
          <w:color w:val="auto"/>
        </w:rPr>
        <w:t>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in which both (i) the holders of the voting securities of the Company as of immediately prior to such Fundamental Transaction will not, following such Fundamental Transaction, directly or indirectly own more than 50% of the voting securities of the surviving entity or Successor Entity (as defined below), as applicable, and (ii) the Company is not the Successor Entity or does not continue as a reporting issuer under the Exchange Act ((i) and (ii), the “</w:t>
      </w:r>
      <w:r>
        <w:rPr>
          <w:rFonts w:ascii="Times New Roman" w:cs="Times New Roman" w:eastAsia="Times New Roman" w:hAnsi="Times New Roman"/>
          <w:sz w:val="22"/>
          <w:szCs w:val="22"/>
          <w:b w:val="1"/>
          <w:bCs w:val="1"/>
          <w:color w:val="auto"/>
        </w:rPr>
        <w:t>Buy-back Conditions</w:t>
      </w:r>
      <w:r>
        <w:rPr>
          <w:rFonts w:ascii="Times New Roman" w:cs="Times New Roman" w:eastAsia="Times New Roman" w:hAnsi="Times New Roman"/>
          <w:sz w:val="22"/>
          <w:szCs w:val="22"/>
          <w:color w:val="auto"/>
        </w:rPr>
        <w:t>”),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Buy-back</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4" w:name="page35"/>
    <w:bookmarkEnd w:id="34"/>
    <w:p>
      <w:pPr>
        <w:jc w:val="both"/>
        <w:ind w:left="420"/>
        <w:spacing w:after="0" w:line="254" w:lineRule="auto"/>
        <w:rPr>
          <w:sz w:val="20"/>
          <w:szCs w:val="20"/>
          <w:color w:val="auto"/>
        </w:rPr>
      </w:pPr>
      <w:r>
        <w:rPr>
          <w:rFonts w:ascii="Times New Roman" w:cs="Times New Roman" w:eastAsia="Times New Roman" w:hAnsi="Times New Roman"/>
          <w:sz w:val="20"/>
          <w:szCs w:val="20"/>
          <w:color w:val="auto"/>
        </w:rPr>
        <w:t>Conditions have been satisfied and (1) the Fundamental Transaction is not within the Company's control, including not approved by the Company's Board of Directors, or (2) the Alternate Consideration payable to holders of the Company’s Common Stock in such Fundamental Transaction consists of equity securities of the Successor Entity (or its ultimate parent) that are quoted or listed on a nationally recognized securities exchange, then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where the Buy-back Conditions have been satisfied, such holders of Common Stock will be deemed to have received common stock of the Successor Entity (which Successor Entity may be the Company following such Fundamental Transaction) in such Fundamental Transaction. “Black Scholes Value” means the value of this Preferred Investment Option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(such entity, or if the Company is the surviving or successor entity then the Company, referred to as the “</w:t>
      </w:r>
      <w:r>
        <w:rPr>
          <w:rFonts w:ascii="Times New Roman" w:cs="Times New Roman" w:eastAsia="Times New Roman" w:hAnsi="Times New Roman"/>
          <w:sz w:val="20"/>
          <w:szCs w:val="20"/>
          <w:u w:val="single" w:color="auto"/>
          <w:color w:val="auto"/>
        </w:rPr>
        <w:t>Successor Entity</w:t>
      </w:r>
      <w:r>
        <w:rPr>
          <w:rFonts w:ascii="Times New Roman" w:cs="Times New Roman" w:eastAsia="Times New Roman" w:hAnsi="Times New Roman"/>
          <w:sz w:val="20"/>
          <w:szCs w:val="20"/>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5" w:name="page36"/>
    <w:bookmarkEnd w:id="35"/>
    <w:p>
      <w:pPr>
        <w:jc w:val="both"/>
        <w:ind w:left="420"/>
        <w:spacing w:after="0" w:line="233" w:lineRule="auto"/>
        <w:rPr>
          <w:sz w:val="20"/>
          <w:szCs w:val="20"/>
          <w:color w:val="auto"/>
        </w:rPr>
      </w:pPr>
      <w:r>
        <w:rPr>
          <w:rFonts w:ascii="Times New Roman" w:cs="Times New Roman" w:eastAsia="Times New Roman" w:hAnsi="Times New Roman"/>
          <w:sz w:val="22"/>
          <w:szCs w:val="22"/>
          <w:color w:val="auto"/>
        </w:rPr>
        <w:t>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Preferred Investment Option and the other Transaction Documents referring to the “Company” shall refer instead to the Successor Entity), and may exercise every right and power of the Company and shall assume all of the obligations of the Company under this Preferred Investment Option and the other Transaction Documents with the same effect as if such Successor Entity had been named as the Company herein.</w:t>
      </w:r>
    </w:p>
    <w:p>
      <w:pPr>
        <w:spacing w:after="0" w:line="184" w:lineRule="exact"/>
        <w:rPr>
          <w:sz w:val="20"/>
          <w:szCs w:val="20"/>
          <w:color w:val="auto"/>
        </w:rPr>
      </w:pPr>
    </w:p>
    <w:p>
      <w:pPr>
        <w:jc w:val="both"/>
        <w:ind w:left="420" w:firstLine="745"/>
        <w:spacing w:after="0" w:line="238" w:lineRule="auto"/>
        <w:tabs>
          <w:tab w:leader="none" w:pos="170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1540" w:hanging="375"/>
        <w:spacing w:after="0"/>
        <w:tabs>
          <w:tab w:leader="none" w:pos="15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left="1920" w:firstLine="970"/>
        <w:spacing w:after="0" w:line="270" w:lineRule="auto"/>
        <w:tabs>
          <w:tab w:leader="none" w:pos="323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to Exercise Price</w:t>
      </w:r>
      <w:r>
        <w:rPr>
          <w:rFonts w:ascii="Times New Roman" w:cs="Times New Roman" w:eastAsia="Times New Roman" w:hAnsi="Times New Roman"/>
          <w:sz w:val="20"/>
          <w:szCs w:val="20"/>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50" w:lineRule="exact"/>
        <w:rPr>
          <w:sz w:val="20"/>
          <w:szCs w:val="20"/>
          <w:color w:val="auto"/>
        </w:rPr>
      </w:pPr>
    </w:p>
    <w:p>
      <w:pPr>
        <w:jc w:val="both"/>
        <w:ind w:left="1920" w:firstLine="941"/>
        <w:spacing w:after="0" w:line="232" w:lineRule="auto"/>
        <w:tabs>
          <w:tab w:leader="none" w:pos="323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Allow Exercise by Holder</w:t>
      </w:r>
      <w:r>
        <w:rPr>
          <w:rFonts w:ascii="Times New Roman" w:cs="Times New Roman" w:eastAsia="Times New Roman" w:hAnsi="Times New Roman"/>
          <w:sz w:val="22"/>
          <w:szCs w:val="22"/>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10 calendar days prior to the applicable record or effective date hereinafter specified, a</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6" w:name="page37"/>
    <w:bookmarkEnd w:id="36"/>
    <w:p>
      <w:pPr>
        <w:jc w:val="both"/>
        <w:ind w:left="1920"/>
        <w:spacing w:after="0" w:line="256" w:lineRule="auto"/>
        <w:rPr>
          <w:sz w:val="20"/>
          <w:szCs w:val="20"/>
          <w:color w:val="auto"/>
        </w:rPr>
      </w:pPr>
      <w:r>
        <w:rPr>
          <w:rFonts w:ascii="Times New Roman" w:cs="Times New Roman" w:eastAsia="Times New Roman" w:hAnsi="Times New Roman"/>
          <w:sz w:val="20"/>
          <w:szCs w:val="20"/>
          <w:color w:val="auto"/>
        </w:rPr>
        <w:t>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Preferred Investment Option constitutes, or contains, material, non-public information regarding the Company or any of the Subsidiaries, the Company shall simultaneously file such notice with the Commission pursuant to a Current Report on Form 8-K. The Holder shall remain entitled to exercise this Preferred Investment Option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18" w:lineRule="exact"/>
        <w:rPr>
          <w:sz w:val="20"/>
          <w:szCs w:val="20"/>
          <w:color w:val="auto"/>
        </w:rPr>
      </w:pPr>
    </w:p>
    <w:p>
      <w:pPr>
        <w:jc w:val="both"/>
        <w:ind w:left="420" w:right="20" w:firstLine="745"/>
        <w:spacing w:after="0" w:line="242" w:lineRule="auto"/>
        <w:tabs>
          <w:tab w:leader="none" w:pos="170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Adjustment By Company</w:t>
      </w:r>
      <w:r>
        <w:rPr>
          <w:rFonts w:ascii="Times New Roman" w:cs="Times New Roman" w:eastAsia="Times New Roman" w:hAnsi="Times New Roman"/>
          <w:sz w:val="22"/>
          <w:szCs w:val="22"/>
          <w:color w:val="auto"/>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spacing w:after="0" w:line="200" w:lineRule="exact"/>
        <w:rPr>
          <w:sz w:val="20"/>
          <w:szCs w:val="20"/>
          <w:color w:val="auto"/>
        </w:rPr>
      </w:pPr>
    </w:p>
    <w:p>
      <w:pPr>
        <w:spacing w:after="0" w:line="220"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Transfer of Preferred Investment Option</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420" w:firstLine="745"/>
        <w:spacing w:after="0" w:line="232" w:lineRule="auto"/>
        <w:tabs>
          <w:tab w:leader="none" w:pos="170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7" w:name="page38"/>
    <w:bookmarkEnd w:id="37"/>
    <w:p>
      <w:pPr>
        <w:jc w:val="both"/>
        <w:ind w:left="420"/>
        <w:spacing w:after="0" w:line="238" w:lineRule="auto"/>
        <w:rPr>
          <w:sz w:val="20"/>
          <w:szCs w:val="20"/>
          <w:color w:val="auto"/>
        </w:rPr>
      </w:pPr>
      <w:r>
        <w:rPr>
          <w:rFonts w:ascii="Times New Roman" w:cs="Times New Roman" w:eastAsia="Times New Roman" w:hAnsi="Times New Roman"/>
          <w:sz w:val="22"/>
          <w:szCs w:val="22"/>
          <w:color w:val="auto"/>
        </w:rPr>
        <w:t>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82" w:lineRule="exact"/>
        <w:rPr>
          <w:sz w:val="20"/>
          <w:szCs w:val="20"/>
          <w:color w:val="auto"/>
        </w:rPr>
      </w:pPr>
    </w:p>
    <w:p>
      <w:pPr>
        <w:jc w:val="both"/>
        <w:ind w:left="420" w:firstLine="745"/>
        <w:spacing w:after="0" w:line="233" w:lineRule="auto"/>
        <w:tabs>
          <w:tab w:leader="none" w:pos="170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Preferred Investment Options</w:t>
      </w:r>
      <w:r>
        <w:rPr>
          <w:rFonts w:ascii="Times New Roman" w:cs="Times New Roman" w:eastAsia="Times New Roman" w:hAnsi="Times New Roman"/>
          <w:sz w:val="22"/>
          <w:szCs w:val="22"/>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86"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Investment Option Register</w:t>
      </w:r>
      <w:r>
        <w:rPr>
          <w:rFonts w:ascii="Times New Roman" w:cs="Times New Roman" w:eastAsia="Times New Roman" w:hAnsi="Times New Roman"/>
          <w:sz w:val="22"/>
          <w:szCs w:val="22"/>
          <w:color w:val="auto"/>
        </w:rPr>
        <w:t>. The Company shall register this Preferred Investment Option, upon records to be maintained by the Company for that purpose (the “</w:t>
      </w:r>
      <w:r>
        <w:rPr>
          <w:rFonts w:ascii="Times New Roman" w:cs="Times New Roman" w:eastAsia="Times New Roman" w:hAnsi="Times New Roman"/>
          <w:sz w:val="22"/>
          <w:szCs w:val="22"/>
          <w:u w:val="single" w:color="auto"/>
          <w:color w:val="auto"/>
        </w:rPr>
        <w:t>Preferred Investment Option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65" w:lineRule="auto"/>
        <w:tabs>
          <w:tab w:leader="none" w:pos="170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 If, at the time of the surrender of this Preferred Investment Option in connection with any transfer of this Preferred Investment Option, the transfer of this Preferred Investment Option shall not be either</w:t>
      </w:r>
    </w:p>
    <w:p>
      <w:pPr>
        <w:jc w:val="both"/>
        <w:ind w:left="420" w:hanging="4"/>
        <w:spacing w:after="0" w:line="232" w:lineRule="auto"/>
        <w:tabs>
          <w:tab w:leader="none" w:pos="68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0"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by the Holder</w:t>
      </w:r>
      <w:r>
        <w:rPr>
          <w:rFonts w:ascii="Times New Roman" w:cs="Times New Roman" w:eastAsia="Times New Roman" w:hAnsi="Times New Roman"/>
          <w:sz w:val="22"/>
          <w:szCs w:val="22"/>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79"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8" w:name="page39"/>
    <w:bookmarkEnd w:id="38"/>
    <w:p>
      <w:pPr>
        <w:jc w:val="both"/>
        <w:ind w:left="420" w:firstLine="745"/>
        <w:spacing w:after="0" w:line="235" w:lineRule="auto"/>
        <w:tabs>
          <w:tab w:leader="none" w:pos="170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the rights of a Holder to receive Preferred Investment Option Shares on a “cashless exercise,” and to receive the cash payments contemplated pursuant to Sections 2(d)(i) and 2(d)(iv), in no event will the Company be required to net cash settle a Preferred Investment Option exercise.</w:t>
      </w:r>
    </w:p>
    <w:p>
      <w:pPr>
        <w:spacing w:after="0" w:line="183" w:lineRule="exact"/>
        <w:rPr>
          <w:rFonts w:ascii="Times New Roman" w:cs="Times New Roman" w:eastAsia="Times New Roman" w:hAnsi="Times New Roman"/>
          <w:sz w:val="22"/>
          <w:szCs w:val="22"/>
          <w:color w:val="auto"/>
        </w:rPr>
      </w:pPr>
    </w:p>
    <w:p>
      <w:pPr>
        <w:jc w:val="both"/>
        <w:ind w:left="420" w:firstLine="745"/>
        <w:spacing w:after="0" w:line="234" w:lineRule="auto"/>
        <w:tabs>
          <w:tab w:leader="none" w:pos="170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Preferred Investment Option</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1" w:lineRule="exact"/>
        <w:rPr>
          <w:rFonts w:ascii="Times New Roman" w:cs="Times New Roman" w:eastAsia="Times New Roman" w:hAnsi="Times New Roman"/>
          <w:sz w:val="22"/>
          <w:szCs w:val="22"/>
          <w:color w:val="auto"/>
        </w:rPr>
      </w:pPr>
    </w:p>
    <w:p>
      <w:pPr>
        <w:jc w:val="both"/>
        <w:ind w:left="420" w:firstLine="745"/>
        <w:spacing w:after="0" w:line="242" w:lineRule="auto"/>
        <w:tabs>
          <w:tab w:leader="none" w:pos="170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7" w:lineRule="exact"/>
        <w:rPr>
          <w:rFonts w:ascii="Times New Roman" w:cs="Times New Roman" w:eastAsia="Times New Roman" w:hAnsi="Times New Roman"/>
          <w:sz w:val="22"/>
          <w:szCs w:val="22"/>
          <w:color w:val="auto"/>
        </w:rPr>
      </w:pPr>
    </w:p>
    <w:p>
      <w:pPr>
        <w:ind w:left="1700" w:hanging="535"/>
        <w:spacing w:after="0"/>
        <w:tabs>
          <w:tab w:leader="none" w:pos="17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160" w:firstLine="1498"/>
        <w:spacing w:after="0" w:line="232" w:lineRule="auto"/>
        <w:rPr>
          <w:sz w:val="20"/>
          <w:szCs w:val="20"/>
          <w:color w:val="auto"/>
        </w:rPr>
      </w:pPr>
      <w:r>
        <w:rPr>
          <w:rFonts w:ascii="Times New Roman" w:cs="Times New Roman" w:eastAsia="Times New Roman" w:hAnsi="Times New Roman"/>
          <w:sz w:val="22"/>
          <w:szCs w:val="22"/>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39" w:name="page40"/>
    <w:bookmarkEnd w:id="39"/>
    <w:p>
      <w:pPr>
        <w:jc w:val="both"/>
        <w:ind w:left="1160" w:firstLine="749"/>
        <w:spacing w:after="0" w:line="257" w:lineRule="auto"/>
        <w:rPr>
          <w:sz w:val="20"/>
          <w:szCs w:val="20"/>
          <w:color w:val="auto"/>
        </w:rPr>
      </w:pPr>
      <w:r>
        <w:rPr>
          <w:rFonts w:ascii="Times New Roman" w:cs="Times New Roman" w:eastAsia="Times New Roman" w:hAnsi="Times New Roman"/>
          <w:sz w:val="20"/>
          <w:szCs w:val="20"/>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66" w:lineRule="exact"/>
        <w:rPr>
          <w:sz w:val="20"/>
          <w:szCs w:val="20"/>
          <w:color w:val="auto"/>
        </w:rPr>
      </w:pPr>
    </w:p>
    <w:p>
      <w:pPr>
        <w:jc w:val="both"/>
        <w:ind w:left="1160" w:firstLine="749"/>
        <w:spacing w:after="0" w:line="238"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82" w:lineRule="exact"/>
        <w:rPr>
          <w:sz w:val="20"/>
          <w:szCs w:val="20"/>
          <w:color w:val="auto"/>
        </w:rPr>
      </w:pPr>
    </w:p>
    <w:p>
      <w:pPr>
        <w:ind w:left="420" w:right="20" w:firstLine="745"/>
        <w:spacing w:after="0" w:line="255" w:lineRule="auto"/>
        <w:tabs>
          <w:tab w:leader="none" w:pos="170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Preferred Investment Option shall be determined in accordance with the provisions of the Purchase Agreement.</w:t>
      </w:r>
    </w:p>
    <w:p>
      <w:pPr>
        <w:spacing w:after="0" w:line="162" w:lineRule="exact"/>
        <w:rPr>
          <w:rFonts w:ascii="Times New Roman" w:cs="Times New Roman" w:eastAsia="Times New Roman" w:hAnsi="Times New Roman"/>
          <w:sz w:val="22"/>
          <w:szCs w:val="22"/>
          <w:color w:val="auto"/>
        </w:rPr>
      </w:pPr>
    </w:p>
    <w:p>
      <w:pPr>
        <w:jc w:val="both"/>
        <w:ind w:left="420" w:firstLine="745"/>
        <w:spacing w:after="0" w:line="242" w:lineRule="auto"/>
        <w:tabs>
          <w:tab w:leader="none" w:pos="170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33" w:lineRule="auto"/>
        <w:tabs>
          <w:tab w:leader="none" w:pos="170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or the Company shall operate as a waiver of such right or otherwise prejudice that party’s rights, powers or remedies, notwithstanding the fact that the right to exercise this Preferred Investment Option terminates on the Termination Date. Without limiting any other provision of this Preferred Investment Option or the Purchase Agreement, if either party willfully and knowingly fails to comply with any provision of this Preferred Investment Option, which results in any material damages to the other party, the first party shall pay such amounts as shall be sufficient to cover any costs and expenses including, but not limited to, reasonable attorneys’ fees, including those of appellate proceedings, incurred by the affected party in collecting any amounts due pursuant hereto or in otherwise enforcing any of its rights, powers or remedies hereunder.</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40" w:name="page41"/>
    <w:bookmarkEnd w:id="40"/>
    <w:p>
      <w:pPr>
        <w:ind w:left="420" w:right="20" w:firstLine="745"/>
        <w:spacing w:after="0" w:line="255" w:lineRule="auto"/>
        <w:tabs>
          <w:tab w:leader="none" w:pos="170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document required or permitted to be given or delivered to the Holder by the Company shall be delivered in accordance with the notice provisions of the Purchase Agreement.</w:t>
      </w:r>
    </w:p>
    <w:p>
      <w:pPr>
        <w:spacing w:after="0" w:line="162"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42" w:lineRule="auto"/>
        <w:tabs>
          <w:tab w:leader="none" w:pos="170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Other than Section 2(e) above and this Section 5(l), which may not be amended, modified or waived, this Preferred Investment Option may be modified or amended or the provisions hereof waived with the written consent of the Company and the Holder.</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8" w:lineRule="exact"/>
        <w:rPr>
          <w:rFonts w:ascii="Times New Roman" w:cs="Times New Roman" w:eastAsia="Times New Roman" w:hAnsi="Times New Roman"/>
          <w:sz w:val="22"/>
          <w:szCs w:val="22"/>
          <w:color w:val="auto"/>
        </w:rPr>
      </w:pPr>
    </w:p>
    <w:p>
      <w:pPr>
        <w:ind w:left="420" w:right="20" w:firstLine="745"/>
        <w:spacing w:after="0" w:line="255" w:lineRule="auto"/>
        <w:tabs>
          <w:tab w:leader="none" w:pos="170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Receipt of this Preferred Investment Option by the Holder shall constitute acceptance of and agreement to all of the terms and conditions contained herein.</w:t>
      </w:r>
    </w:p>
    <w:p>
      <w:pPr>
        <w:spacing w:after="0" w:line="162" w:lineRule="exact"/>
        <w:rPr>
          <w:rFonts w:ascii="Times New Roman" w:cs="Times New Roman" w:eastAsia="Times New Roman" w:hAnsi="Times New Roman"/>
          <w:sz w:val="22"/>
          <w:szCs w:val="22"/>
          <w:color w:val="auto"/>
        </w:rPr>
      </w:pPr>
    </w:p>
    <w:p>
      <w:pPr>
        <w:ind w:left="420" w:firstLine="745"/>
        <w:spacing w:after="0" w:line="255" w:lineRule="auto"/>
        <w:tabs>
          <w:tab w:leader="none" w:pos="170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Preferred Investment Option are for the convenience of reference only and shall not, for any purpose, be deemed a part of this Preferred Investment Option.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41" w:name="page42"/>
    <w:bookmarkEnd w:id="41"/>
    <w:p>
      <w:pPr>
        <w:ind w:left="4200"/>
        <w:spacing w:after="0"/>
        <w:rPr>
          <w:sz w:val="20"/>
          <w:szCs w:val="20"/>
          <w:color w:val="auto"/>
        </w:rPr>
      </w:pPr>
      <w:r>
        <w:rPr>
          <w:rFonts w:ascii="Times New Roman" w:cs="Times New Roman" w:eastAsia="Times New Roman" w:hAnsi="Times New Roman"/>
          <w:sz w:val="22"/>
          <w:szCs w:val="22"/>
          <w:color w:val="auto"/>
        </w:rPr>
        <w:t>********************</w:t>
      </w:r>
    </w:p>
    <w:p>
      <w:pPr>
        <w:spacing w:after="0" w:line="228"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799"/>
          </w:cols>
          <w:pgMar w:left="660" w:top="1405" w:right="1440" w:bottom="1440" w:gutter="0" w:footer="0" w:header="0"/>
        </w:sectPr>
      </w:pPr>
    </w:p>
    <w:bookmarkStart w:id="42" w:name="page43"/>
    <w:bookmarkEnd w:id="42"/>
    <w:p>
      <w:pPr>
        <w:spacing w:after="0" w:line="208"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2"/>
          <w:szCs w:val="22"/>
          <w:color w:val="auto"/>
        </w:rPr>
        <w:t>IN WITNESS WHEREOF, the Company has caused this Preferred Investment Option to be executed by its officer thereunto duly authorized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By:__________________________________________</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 Thomas J. Schaefer</w:t>
      </w:r>
    </w:p>
    <w:p>
      <w:pPr>
        <w:ind w:left="3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ARCADIA BIOSCIENCES, INC.</w:t>
      </w:r>
    </w:p>
    <w:p>
      <w:pPr>
        <w:spacing w:after="0" w:line="232" w:lineRule="exact"/>
        <w:rPr>
          <w:sz w:val="20"/>
          <w:szCs w:val="20"/>
          <w:color w:val="auto"/>
        </w:rPr>
      </w:pPr>
    </w:p>
    <w:p>
      <w:pPr>
        <w:jc w:val="both"/>
        <w:ind w:firstLine="1505"/>
        <w:spacing w:after="0" w:line="242" w:lineRule="auto"/>
        <w:tabs>
          <w:tab w:leader="none" w:pos="203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(check applicable box):</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 ] in lawful money of the United States; or</w:t>
      </w:r>
    </w:p>
    <w:p>
      <w:pPr>
        <w:spacing w:after="0" w:line="205" w:lineRule="exact"/>
        <w:rPr>
          <w:sz w:val="20"/>
          <w:szCs w:val="20"/>
          <w:color w:val="auto"/>
        </w:rPr>
      </w:pPr>
    </w:p>
    <w:p>
      <w:pPr>
        <w:jc w:val="both"/>
        <w:ind w:left="2260" w:hanging="6"/>
        <w:spacing w:after="0" w:line="238" w:lineRule="auto"/>
        <w:tabs>
          <w:tab w:leader="none" w:pos="245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81" w:lineRule="exact"/>
        <w:rPr>
          <w:rFonts w:ascii="Times New Roman" w:cs="Times New Roman" w:eastAsia="Times New Roman" w:hAnsi="Times New Roman"/>
          <w:sz w:val="22"/>
          <w:szCs w:val="22"/>
          <w:color w:val="auto"/>
        </w:rPr>
      </w:pPr>
    </w:p>
    <w:p>
      <w:pPr>
        <w:ind w:firstLine="1505"/>
        <w:spacing w:after="0" w:line="255" w:lineRule="auto"/>
        <w:tabs>
          <w:tab w:leader="none" w:pos="203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Preferred Investment Option Shares in the name of the undersigned or in such other name as is specified below:</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Preferred Investment Option Shares shall be delivered to the following DWAC Account Number:</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jc w:val="both"/>
        <w:ind w:firstLine="870"/>
        <w:spacing w:after="0" w:line="270" w:lineRule="auto"/>
        <w:tabs>
          <w:tab w:leader="none" w:pos="12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2(e) of the Preferred Investment Option, after giving effect to the number of Preferred Investment Option Shares issuable upon this exercise of the Preferred Investment Option, the undersigned will not beneficially own in excess of 4.99% (or 9.99%, if applicable in accordance with Section 2(e)) of the number of shares of Common Stock of the Company outstanding immediately after giving effect to the issuance of such Preferred Investment Option Shares.</w:t>
      </w:r>
    </w:p>
    <w:p>
      <w:pPr>
        <w:spacing w:after="0" w:line="177" w:lineRule="exact"/>
        <w:rPr>
          <w:rFonts w:ascii="Times New Roman" w:cs="Times New Roman" w:eastAsia="Times New Roman" w:hAnsi="Times New Roman"/>
          <w:sz w:val="20"/>
          <w:szCs w:val="20"/>
          <w:color w:val="auto"/>
        </w:rPr>
      </w:pPr>
    </w:p>
    <w:p>
      <w:pPr>
        <w:ind w:firstLine="870"/>
        <w:spacing w:after="0" w:line="255" w:lineRule="auto"/>
        <w:tabs>
          <w:tab w:leader="none" w:pos="122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The undersigned is an “accredited investor” as defined in Regulation D promulgated under the Securities Act of 1933, as amended.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 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 ____________________________________________</w:t>
      </w:r>
    </w:p>
    <w:p>
      <w:pPr>
        <w:spacing w:after="0" w:line="229" w:lineRule="auto"/>
        <w:rPr>
          <w:sz w:val="20"/>
          <w:szCs w:val="20"/>
          <w:color w:val="auto"/>
        </w:rPr>
      </w:pPr>
      <w:r>
        <w:rPr>
          <w:rFonts w:ascii="Times New Roman" w:cs="Times New Roman" w:eastAsia="Times New Roman" w:hAnsi="Times New Roman"/>
          <w:sz w:val="22"/>
          <w:szCs w:val="22"/>
          <w:color w:val="auto"/>
        </w:rPr>
        <w:t>Name of Authorized Signatory: ______________________________________________________________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 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color w:val="auto"/>
        </w:rPr>
        <w:t>Date: 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759" w:right="1440"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FORM</w:t>
      </w:r>
    </w:p>
    <w:p>
      <w:pPr>
        <w:spacing w:after="0" w:line="13" w:lineRule="exact"/>
        <w:rPr>
          <w:sz w:val="20"/>
          <w:szCs w:val="20"/>
          <w:color w:val="auto"/>
        </w:rPr>
      </w:pPr>
    </w:p>
    <w:p>
      <w:pPr>
        <w:ind w:firstLine="294"/>
        <w:spacing w:after="0" w:line="236" w:lineRule="auto"/>
        <w:rPr>
          <w:sz w:val="20"/>
          <w:szCs w:val="20"/>
          <w:color w:val="auto"/>
        </w:rPr>
      </w:pPr>
      <w:r>
        <w:rPr>
          <w:rFonts w:ascii="Times New Roman" w:cs="Times New Roman" w:eastAsia="Times New Roman" w:hAnsi="Times New Roman"/>
          <w:sz w:val="22"/>
          <w:szCs w:val="22"/>
          <w:i w:val="1"/>
          <w:iCs w:val="1"/>
          <w:color w:val="auto"/>
        </w:rPr>
        <w:t>(To assign the foregoing Preferred Investment Option, execute this form and supply required information. Do not use this form to exercise the Preferred Investment Option to purchase shares.)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FOR VALUE RECEIVED, the foregoing Preferred Investment Option and all rights evidenced thereby are hereby assigned to</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300" w:type="dxa"/>
            <w:vAlign w:val="bottom"/>
          </w:tcPr>
          <w:p>
            <w:pPr>
              <w:spacing w:after="0"/>
              <w:rPr>
                <w:sz w:val="24"/>
                <w:szCs w:val="24"/>
                <w:color w:val="auto"/>
              </w:rPr>
            </w:pP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434"/>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Address:</w:t>
            </w:r>
          </w:p>
        </w:tc>
        <w:tc>
          <w:tcPr>
            <w:tcW w:w="694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242"/>
        </w:trPr>
        <w:tc>
          <w:tcPr>
            <w:tcW w:w="4300" w:type="dxa"/>
            <w:vAlign w:val="bottom"/>
          </w:tcPr>
          <w:p>
            <w:pPr>
              <w:spacing w:after="0"/>
              <w:rPr>
                <w:sz w:val="21"/>
                <w:szCs w:val="21"/>
                <w:color w:val="auto"/>
              </w:rPr>
            </w:pPr>
          </w:p>
        </w:tc>
        <w:tc>
          <w:tcPr>
            <w:tcW w:w="6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Phone Number:</w:t>
            </w: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Email Address:</w:t>
            </w: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Dated: _______________ __, ______</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Signature:</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Address:</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8"/>
        </w:trPr>
        <w:tc>
          <w:tcPr>
            <w:tcW w:w="43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6" w:name="page47"/>
    <w:bookmarkEnd w:id="46"/>
    <w:p>
      <w:pPr>
        <w:ind w:left="10240"/>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5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SERIES A-2 PREFERRED INVESTMENT OPTION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ectPr>
          <w:pgSz w:w="11900" w:h="16838" w:orient="portrait"/>
          <w:cols w:equalWidth="0" w:num="1">
            <w:col w:w="11240"/>
          </w:cols>
          <w:pgMar w:left="320" w:top="1401" w:right="3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Preferred Investment Option Shares: 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 Date: June 12, 2026</w:t>
      </w:r>
    </w:p>
    <w:p>
      <w:pPr>
        <w:spacing w:after="0" w:line="200" w:lineRule="exact"/>
        <w:rPr>
          <w:sz w:val="20"/>
          <w:szCs w:val="20"/>
          <w:color w:val="auto"/>
        </w:rPr>
      </w:pPr>
    </w:p>
    <w:p>
      <w:pPr>
        <w:sectPr>
          <w:pgSz w:w="11900" w:h="16838" w:orient="portrait"/>
          <w:cols w:equalWidth="0" w:num="2">
            <w:col w:w="4460" w:space="720"/>
            <w:col w:w="6060"/>
          </w:cols>
          <w:pgMar w:left="320" w:top="1401" w:right="339" w:bottom="1440" w:gutter="0" w:footer="0" w:header="0"/>
          <w:type w:val="continuous"/>
        </w:sectPr>
      </w:pPr>
    </w:p>
    <w:p>
      <w:pPr>
        <w:spacing w:after="0" w:line="270" w:lineRule="exact"/>
        <w:rPr>
          <w:sz w:val="20"/>
          <w:szCs w:val="20"/>
          <w:color w:val="auto"/>
        </w:rPr>
      </w:pPr>
    </w:p>
    <w:p>
      <w:pPr>
        <w:jc w:val="both"/>
        <w:ind w:firstLine="1497"/>
        <w:spacing w:after="0" w:line="265" w:lineRule="auto"/>
        <w:rPr>
          <w:sz w:val="20"/>
          <w:szCs w:val="20"/>
          <w:color w:val="auto"/>
        </w:rPr>
      </w:pPr>
      <w:r>
        <w:rPr>
          <w:rFonts w:ascii="Times New Roman" w:cs="Times New Roman" w:eastAsia="Times New Roman" w:hAnsi="Times New Roman"/>
          <w:sz w:val="20"/>
          <w:szCs w:val="20"/>
          <w:color w:val="auto"/>
        </w:rPr>
        <w:t>THIS SERIES A-2 PREFERRED INVESTMENT INVESTMENT OPTION (the “</w:t>
      </w:r>
      <w:r>
        <w:rPr>
          <w:rFonts w:ascii="Times New Roman" w:cs="Times New Roman" w:eastAsia="Times New Roman" w:hAnsi="Times New Roman"/>
          <w:sz w:val="20"/>
          <w:szCs w:val="20"/>
          <w:u w:val="single" w:color="auto"/>
          <w:color w:val="auto"/>
        </w:rPr>
        <w:t>Preferred Investent Option</w:t>
      </w:r>
      <w:r>
        <w:rPr>
          <w:rFonts w:ascii="Times New Roman" w:cs="Times New Roman" w:eastAsia="Times New Roman" w:hAnsi="Times New Roman"/>
          <w:sz w:val="20"/>
          <w:szCs w:val="20"/>
          <w:color w:val="auto"/>
        </w:rPr>
        <w:t>”) certifies that, for value received, ___________ or its assigns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is entitled, upon the terms and subject to the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limitations on exercise and the conditions hereinafter set forth, at any time on or after the date hereof (the “</w:t>
      </w:r>
      <w:r>
        <w:rPr>
          <w:rFonts w:ascii="Times New Roman" w:cs="Times New Roman" w:eastAsia="Times New Roman" w:hAnsi="Times New Roman"/>
          <w:sz w:val="20"/>
          <w:szCs w:val="20"/>
          <w:u w:val="single" w:color="auto"/>
          <w:color w:val="auto"/>
        </w:rPr>
        <w:t>Initial Exercise Date</w:t>
      </w:r>
      <w:r>
        <w:rPr>
          <w:rFonts w:ascii="Times New Roman" w:cs="Times New Roman" w:eastAsia="Times New Roman" w:hAnsi="Times New Roman"/>
          <w:sz w:val="20"/>
          <w:szCs w:val="20"/>
          <w:color w:val="auto"/>
        </w:rPr>
        <w:t>”) and on or prior to 5:00 p.m. (New York City time) on the date that is the twenty-four (24) month anniversary of the Effective Date, provided that, if such date is not a Trading Day, the date that is the immediately following Trading Day (the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but not thereafter, to subscribe for and purchase from Arcadia Biosciences,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up to _________ shares (as subject to adjustment hereunder, the “</w:t>
      </w:r>
      <w:r>
        <w:rPr>
          <w:rFonts w:ascii="Times New Roman" w:cs="Times New Roman" w:eastAsia="Times New Roman" w:hAnsi="Times New Roman"/>
          <w:sz w:val="20"/>
          <w:szCs w:val="20"/>
          <w:u w:val="single" w:color="auto"/>
          <w:color w:val="auto"/>
        </w:rPr>
        <w:t>Preferred Investment Option Shares</w:t>
      </w:r>
      <w:r>
        <w:rPr>
          <w:rFonts w:ascii="Times New Roman" w:cs="Times New Roman" w:eastAsia="Times New Roman" w:hAnsi="Times New Roman"/>
          <w:sz w:val="20"/>
          <w:szCs w:val="20"/>
          <w:color w:val="auto"/>
        </w:rPr>
        <w:t>”) of the Company’s</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purchase price of one share of Common Stock under this Preferred Investment Option shall be equal to the Exercise Price, as defined in Section 2(b).</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June 11, 2026, among the Company and the purchasers signatory thereto.</w:t>
      </w:r>
    </w:p>
    <w:p>
      <w:pPr>
        <w:spacing w:after="0" w:line="178"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jc w:val="both"/>
        <w:ind w:left="760" w:firstLine="745"/>
        <w:spacing w:after="0" w:line="259" w:lineRule="auto"/>
        <w:tabs>
          <w:tab w:leader="none" w:pos="204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Preferred Investment Option</w:t>
      </w:r>
      <w:r>
        <w:rPr>
          <w:rFonts w:ascii="Times New Roman" w:cs="Times New Roman" w:eastAsia="Times New Roman" w:hAnsi="Times New Roman"/>
          <w:sz w:val="20"/>
          <w:szCs w:val="20"/>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20"/>
          <w:szCs w:val="20"/>
          <w:u w:val="single" w:color="auto"/>
          <w:color w:val="auto"/>
        </w:rPr>
        <w:t>Notice of Exercise</w:t>
      </w:r>
      <w:r>
        <w:rPr>
          <w:rFonts w:ascii="Times New Roman" w:cs="Times New Roman" w:eastAsia="Times New Roman" w:hAnsi="Times New Roman"/>
          <w:sz w:val="20"/>
          <w:szCs w:val="20"/>
          <w:color w:val="auto"/>
        </w:rPr>
        <w:t>”). Within the earlier of (i) one</w:t>
      </w:r>
    </w:p>
    <w:p>
      <w:pPr>
        <w:ind w:left="1060" w:hanging="304"/>
        <w:spacing w:after="0"/>
        <w:tabs>
          <w:tab w:leader="none" w:pos="10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 and (ii) the number of Trading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type w:val="continuous"/>
        </w:sectPr>
      </w:pPr>
    </w:p>
    <w:bookmarkStart w:id="47" w:name="page48"/>
    <w:bookmarkEnd w:id="47"/>
    <w:p>
      <w:pPr>
        <w:jc w:val="both"/>
        <w:ind w:left="420"/>
        <w:spacing w:after="0" w:line="255" w:lineRule="auto"/>
        <w:rPr>
          <w:sz w:val="20"/>
          <w:szCs w:val="20"/>
          <w:color w:val="auto"/>
        </w:rPr>
      </w:pPr>
      <w:r>
        <w:rPr>
          <w:rFonts w:ascii="Times New Roman" w:cs="Times New Roman" w:eastAsia="Times New Roman" w:hAnsi="Times New Roman"/>
          <w:sz w:val="20"/>
          <w:szCs w:val="20"/>
          <w:color w:val="auto"/>
        </w:rPr>
        <w:t xml:space="preserve">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within three (3) Trading Days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20"/>
          <w:szCs w:val="20"/>
          <w:b w:val="1"/>
          <w:bCs w:val="1"/>
          <w:color w:val="auto"/>
        </w:rPr>
        <w:t>The Holder and any assignee, by acceptance of this Preferred</w:t>
      </w:r>
    </w:p>
    <w:p>
      <w:pPr>
        <w:spacing w:after="0" w:line="238" w:lineRule="exact"/>
        <w:rPr>
          <w:sz w:val="20"/>
          <w:szCs w:val="20"/>
          <w:color w:val="auto"/>
        </w:rPr>
      </w:pPr>
    </w:p>
    <w:p>
      <w:pPr>
        <w:jc w:val="both"/>
        <w:ind w:left="420"/>
        <w:spacing w:after="0" w:line="233" w:lineRule="auto"/>
        <w:rPr>
          <w:sz w:val="20"/>
          <w:szCs w:val="20"/>
          <w:color w:val="auto"/>
        </w:rPr>
      </w:pPr>
      <w:r>
        <w:rPr>
          <w:rFonts w:ascii="Times New Roman" w:cs="Times New Roman" w:eastAsia="Times New Roman" w:hAnsi="Times New Roman"/>
          <w:sz w:val="22"/>
          <w:szCs w:val="22"/>
          <w:b w:val="1"/>
          <w:bCs w:val="1"/>
          <w:color w:val="auto"/>
        </w:rPr>
        <w:t>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79" w:lineRule="exact"/>
        <w:rPr>
          <w:sz w:val="20"/>
          <w:szCs w:val="20"/>
          <w:color w:val="auto"/>
        </w:rPr>
      </w:pPr>
    </w:p>
    <w:p>
      <w:pPr>
        <w:ind w:left="420" w:firstLine="745"/>
        <w:spacing w:after="0" w:line="255" w:lineRule="auto"/>
        <w:tabs>
          <w:tab w:leader="none" w:pos="170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xml:space="preserve">. The exercise price per share of Common Stock under this Preferred Investment Option shall be </w:t>
      </w:r>
      <w:r>
        <w:rPr>
          <w:rFonts w:ascii="Times New Roman" w:cs="Times New Roman" w:eastAsia="Times New Roman" w:hAnsi="Times New Roman"/>
          <w:sz w:val="22"/>
          <w:szCs w:val="22"/>
          <w:b w:val="1"/>
          <w:bCs w:val="1"/>
          <w:color w:val="auto"/>
        </w:rPr>
        <w:t>$0.91</w:t>
      </w:r>
      <w:r>
        <w:rPr>
          <w:rFonts w:ascii="Times New Roman" w:cs="Times New Roman" w:eastAsia="Times New Roman" w:hAnsi="Times New Roman"/>
          <w:sz w:val="22"/>
          <w:szCs w:val="22"/>
          <w:color w:val="auto"/>
        </w:rPr>
        <w:t>,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62"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78" w:lineRule="exact"/>
        <w:rPr>
          <w:rFonts w:ascii="Times New Roman" w:cs="Times New Roman" w:eastAsia="Times New Roman" w:hAnsi="Times New Roman"/>
          <w:sz w:val="22"/>
          <w:szCs w:val="22"/>
          <w:color w:val="auto"/>
        </w:rPr>
      </w:pPr>
    </w:p>
    <w:p>
      <w:pPr>
        <w:ind w:left="1820" w:hanging="653"/>
        <w:spacing w:after="0" w:line="263" w:lineRule="auto"/>
        <w:tabs>
          <w:tab w:leader="none" w:pos="152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48" w:name="page49"/>
    <w:bookmarkEnd w:id="48"/>
    <w:p>
      <w:pPr>
        <w:jc w:val="both"/>
        <w:ind w:left="1820"/>
        <w:spacing w:after="0" w:line="234" w:lineRule="auto"/>
        <w:rPr>
          <w:sz w:val="20"/>
          <w:szCs w:val="20"/>
          <w:color w:val="auto"/>
        </w:rPr>
      </w:pPr>
      <w:r>
        <w:rPr>
          <w:rFonts w:ascii="Times New Roman" w:cs="Times New Roman" w:eastAsia="Times New Roman" w:hAnsi="Times New Roman"/>
          <w:sz w:val="22"/>
          <w:szCs w:val="22"/>
          <w:color w:val="auto"/>
        </w:rPr>
        <w:t>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09" w:lineRule="exact"/>
        <w:rPr>
          <w:sz w:val="20"/>
          <w:szCs w:val="20"/>
          <w:color w:val="auto"/>
        </w:rPr>
      </w:pPr>
    </w:p>
    <w:p>
      <w:pPr>
        <w:ind w:left="1500" w:hanging="335"/>
        <w:spacing w:after="0"/>
        <w:tabs>
          <w:tab w:leader="none" w:pos="15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of this Preferred Investment Option, as adjusted hereunder; and</w:t>
      </w:r>
    </w:p>
    <w:p>
      <w:pPr>
        <w:spacing w:after="0" w:line="231" w:lineRule="exact"/>
        <w:rPr>
          <w:rFonts w:ascii="Times New Roman" w:cs="Times New Roman" w:eastAsia="Times New Roman" w:hAnsi="Times New Roman"/>
          <w:sz w:val="22"/>
          <w:szCs w:val="22"/>
          <w:color w:val="auto"/>
        </w:rPr>
      </w:pPr>
    </w:p>
    <w:p>
      <w:pPr>
        <w:ind w:left="1820" w:hanging="653"/>
        <w:spacing w:after="0" w:line="242" w:lineRule="auto"/>
        <w:tabs>
          <w:tab w:leader="none" w:pos="15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204" w:lineRule="exact"/>
        <w:rPr>
          <w:sz w:val="20"/>
          <w:szCs w:val="20"/>
          <w:color w:val="auto"/>
        </w:rPr>
      </w:pPr>
    </w:p>
    <w:p>
      <w:pPr>
        <w:jc w:val="both"/>
        <w:ind w:left="420"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“Bid Price</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mutually determined by the Company and the Holder, provided that, if the Company and the Holder are unable to agree upon the fair market value of such security, then the fair market value will be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jc w:val="both"/>
        <w:ind w:left="42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49" w:name="page50"/>
    <w:bookmarkEnd w:id="49"/>
    <w:p>
      <w:pPr>
        <w:ind w:left="420"/>
        <w:spacing w:after="0" w:line="265" w:lineRule="auto"/>
        <w:rPr>
          <w:sz w:val="20"/>
          <w:szCs w:val="20"/>
          <w:color w:val="auto"/>
        </w:rPr>
      </w:pPr>
      <w:r>
        <w:rPr>
          <w:rFonts w:ascii="Times New Roman" w:cs="Times New Roman" w:eastAsia="Times New Roman" w:hAnsi="Times New Roman"/>
          <w:sz w:val="20"/>
          <w:szCs w:val="20"/>
          <w:color w:val="auto"/>
        </w:rPr>
        <w:t>the Pink Open Market (“Pink Market”) operated by the OTC Markets, Inc. (or a similar organization or agency succeeding to its functions of reporting prices), the most recent bid price per share of the Common Stock so reported, or</w:t>
      </w:r>
    </w:p>
    <w:p>
      <w:pPr>
        <w:spacing w:after="0" w:line="1" w:lineRule="exact"/>
        <w:rPr>
          <w:sz w:val="20"/>
          <w:szCs w:val="20"/>
          <w:color w:val="auto"/>
        </w:rPr>
      </w:pPr>
    </w:p>
    <w:p>
      <w:pPr>
        <w:jc w:val="both"/>
        <w:ind w:left="420" w:hanging="4"/>
        <w:spacing w:after="0" w:line="234" w:lineRule="auto"/>
        <w:tabs>
          <w:tab w:leader="none" w:pos="75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6" w:lineRule="exact"/>
        <w:rPr>
          <w:sz w:val="20"/>
          <w:szCs w:val="20"/>
          <w:color w:val="auto"/>
        </w:rPr>
      </w:pPr>
    </w:p>
    <w:p>
      <w:pPr>
        <w:jc w:val="both"/>
        <w:ind w:left="420" w:firstLine="749"/>
        <w:spacing w:after="0" w:line="237" w:lineRule="auto"/>
        <w:rPr>
          <w:sz w:val="20"/>
          <w:szCs w:val="20"/>
          <w:color w:val="auto"/>
        </w:rPr>
      </w:pPr>
      <w:r>
        <w:rPr>
          <w:rFonts w:ascii="Times New Roman" w:cs="Times New Roman" w:eastAsia="Times New Roman" w:hAnsi="Times New Roman"/>
          <w:sz w:val="22"/>
          <w:szCs w:val="22"/>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205" w:lineRule="exact"/>
        <w:rPr>
          <w:sz w:val="20"/>
          <w:szCs w:val="20"/>
          <w:color w:val="auto"/>
        </w:rPr>
      </w:pPr>
    </w:p>
    <w:p>
      <w:pPr>
        <w:ind w:left="1700" w:hanging="535"/>
        <w:spacing w:after="0"/>
        <w:tabs>
          <w:tab w:leader="none" w:pos="1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1920" w:firstLine="970"/>
        <w:spacing w:after="0" w:line="255" w:lineRule="auto"/>
        <w:tabs>
          <w:tab w:leader="none" w:pos="323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Preferred Investment Option Shares Upon Exercise</w:t>
      </w:r>
      <w:r>
        <w:rPr>
          <w:rFonts w:ascii="Times New Roman" w:cs="Times New Roman" w:eastAsia="Times New Roman" w:hAnsi="Times New Roman"/>
          <w:sz w:val="20"/>
          <w:szCs w:val="20"/>
          <w:color w:val="auto"/>
        </w:rPr>
        <w:t>. Following delivery of the Notice of Exercise,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0"/>
          <w:szCs w:val="20"/>
          <w:u w:val="single" w:color="auto"/>
          <w:color w:val="auto"/>
        </w:rPr>
        <w:t>DWAC</w:t>
      </w:r>
      <w:r>
        <w:rPr>
          <w:rFonts w:ascii="Times New Roman" w:cs="Times New Roman" w:eastAsia="Times New Roman" w:hAnsi="Times New Roman"/>
          <w:sz w:val="20"/>
          <w:szCs w:val="20"/>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20"/>
          <w:szCs w:val="20"/>
          <w:u w:val="single" w:color="auto"/>
          <w:color w:val="auto"/>
        </w:rPr>
        <w:t>Preferred Investment Option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Delivery Date</w:t>
      </w:r>
      <w:r>
        <w:rPr>
          <w:rFonts w:ascii="Times New Roman" w:cs="Times New Roman" w:eastAsia="Times New Roman" w:hAnsi="Times New Roman"/>
          <w:sz w:val="20"/>
          <w:szCs w:val="20"/>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after the delivery of the Notice of Exercise and (ii) the number of Trading Days comprising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0" w:name="page51"/>
    <w:bookmarkEnd w:id="50"/>
    <w:p>
      <w:pPr>
        <w:jc w:val="both"/>
        <w:ind w:left="1920"/>
        <w:spacing w:after="0" w:line="232" w:lineRule="auto"/>
        <w:rPr>
          <w:sz w:val="20"/>
          <w:szCs w:val="20"/>
          <w:color w:val="auto"/>
        </w:rPr>
      </w:pPr>
      <w:r>
        <w:rPr>
          <w:rFonts w:ascii="Times New Roman" w:cs="Times New Roman" w:eastAsia="Times New Roman" w:hAnsi="Times New Roman"/>
          <w:sz w:val="22"/>
          <w:szCs w:val="22"/>
          <w:color w:val="auto"/>
        </w:rPr>
        <w:t>Standard Settlement Period after the delivery of the Notice of Exercise. If the Holder has paid the aggregate Exercise Price (other than in the case of a cashless exercise) subject to a Notice of Exercise by the Preferred Investment Option Share Delivery Date and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22"/>
          <w:szCs w:val="22"/>
          <w:u w:val="single" w:color="auto"/>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on the Company’s primary Trading Market with respect to the Common Stock as in effect on the date of delivery of the Notice of Exercise.</w:t>
      </w:r>
    </w:p>
    <w:p>
      <w:pPr>
        <w:spacing w:after="0" w:line="184" w:lineRule="exact"/>
        <w:rPr>
          <w:sz w:val="20"/>
          <w:szCs w:val="20"/>
          <w:color w:val="auto"/>
        </w:rPr>
      </w:pPr>
    </w:p>
    <w:p>
      <w:pPr>
        <w:jc w:val="both"/>
        <w:ind w:left="1920" w:firstLine="941"/>
        <w:spacing w:after="0" w:line="235" w:lineRule="auto"/>
        <w:tabs>
          <w:tab w:leader="none" w:pos="323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New Preferred Investment Options Upon Exercise</w:t>
      </w:r>
      <w:r>
        <w:rPr>
          <w:rFonts w:ascii="Times New Roman" w:cs="Times New Roman" w:eastAsia="Times New Roman" w:hAnsi="Times New Roman"/>
          <w:sz w:val="22"/>
          <w:szCs w:val="22"/>
          <w:color w:val="auto"/>
        </w:rPr>
        <w:t>. If this Preferred Investment Option shall have been exercised in part, the Company shall, at the request of a Holder and upon surrender of this Preferred Investment Option,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79" w:lineRule="exact"/>
        <w:rPr>
          <w:sz w:val="20"/>
          <w:szCs w:val="20"/>
          <w:color w:val="auto"/>
        </w:rPr>
      </w:pPr>
    </w:p>
    <w:p>
      <w:pPr>
        <w:jc w:val="both"/>
        <w:ind w:left="1920" w:firstLine="911"/>
        <w:spacing w:after="0" w:line="238" w:lineRule="auto"/>
        <w:tabs>
          <w:tab w:leader="none" w:pos="32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Preferred Investment Option Shares pursuant to Section 2(d)(i) by the Preferred Investment Option Share Delivery Date, then the Holder will have the right to rescind such exercise on or before the second Trading Day following delivery of such Preferred Investment Option Shares.</w:t>
      </w:r>
    </w:p>
    <w:p>
      <w:pPr>
        <w:spacing w:after="0" w:line="181" w:lineRule="exact"/>
        <w:rPr>
          <w:rFonts w:ascii="Times New Roman" w:cs="Times New Roman" w:eastAsia="Times New Roman" w:hAnsi="Times New Roman"/>
          <w:sz w:val="22"/>
          <w:szCs w:val="22"/>
          <w:color w:val="auto"/>
        </w:rPr>
      </w:pPr>
    </w:p>
    <w:p>
      <w:pPr>
        <w:jc w:val="both"/>
        <w:ind w:left="1920" w:firstLine="917"/>
        <w:spacing w:after="0" w:line="235" w:lineRule="auto"/>
        <w:tabs>
          <w:tab w:leader="none" w:pos="32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for Buy-In on Failure to Timely Deliver Preferred Investment Option Shares Upon Exercise</w:t>
      </w:r>
      <w:r>
        <w:rPr>
          <w:rFonts w:ascii="Times New Roman" w:cs="Times New Roman" w:eastAsia="Times New Roman" w:hAnsi="Times New Roman"/>
          <w:sz w:val="22"/>
          <w:szCs w:val="22"/>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the aggregate Exercise Price is paid on or before the Preferred Investment Option Share Delivery Date, other than in the case of a cashless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1" w:name="page52"/>
    <w:bookmarkEnd w:id="51"/>
    <w:p>
      <w:pPr>
        <w:jc w:val="both"/>
        <w:ind w:left="1920"/>
        <w:spacing w:after="0" w:line="231" w:lineRule="auto"/>
        <w:rPr>
          <w:sz w:val="20"/>
          <w:szCs w:val="20"/>
          <w:color w:val="auto"/>
        </w:rPr>
      </w:pPr>
      <w:r>
        <w:rPr>
          <w:rFonts w:ascii="Times New Roman" w:cs="Times New Roman" w:eastAsia="Times New Roman" w:hAnsi="Times New Roman"/>
          <w:sz w:val="22"/>
          <w:szCs w:val="22"/>
          <w:color w:val="auto"/>
        </w:rPr>
        <w:t>exercise),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22"/>
          <w:szCs w:val="22"/>
          <w:u w:val="single" w:color="auto"/>
          <w:color w:val="auto"/>
        </w:rPr>
        <w:t>Buy-In</w:t>
      </w:r>
      <w:r>
        <w:rPr>
          <w:rFonts w:ascii="Times New Roman" w:cs="Times New Roman" w:eastAsia="Times New Roman" w:hAnsi="Times New Roman"/>
          <w:sz w:val="22"/>
          <w:szCs w:val="22"/>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1" w:lineRule="exact"/>
        <w:rPr>
          <w:sz w:val="20"/>
          <w:szCs w:val="20"/>
          <w:color w:val="auto"/>
        </w:rPr>
      </w:pPr>
    </w:p>
    <w:p>
      <w:pPr>
        <w:jc w:val="both"/>
        <w:ind w:left="1920" w:firstLine="947"/>
        <w:spacing w:after="0" w:line="237" w:lineRule="auto"/>
        <w:tabs>
          <w:tab w:leader="none" w:pos="323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sz w:val="20"/>
          <w:szCs w:val="20"/>
          <w:color w:val="auto"/>
        </w:rPr>
      </w:pPr>
    </w:p>
    <w:p>
      <w:pPr>
        <w:jc w:val="both"/>
        <w:ind w:left="1920" w:firstLine="917"/>
        <w:spacing w:after="0" w:line="266" w:lineRule="auto"/>
        <w:tabs>
          <w:tab w:leader="none" w:pos="323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Charges, Taxes and Expenses</w:t>
      </w:r>
      <w:r>
        <w:rPr>
          <w:rFonts w:ascii="Times New Roman" w:cs="Times New Roman" w:eastAsia="Times New Roman" w:hAnsi="Times New Roman"/>
          <w:sz w:val="20"/>
          <w:szCs w:val="20"/>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2" w:name="page53"/>
    <w:bookmarkEnd w:id="52"/>
    <w:p>
      <w:pPr>
        <w:jc w:val="both"/>
        <w:ind w:left="1920"/>
        <w:spacing w:after="0" w:line="234" w:lineRule="auto"/>
        <w:rPr>
          <w:sz w:val="20"/>
          <w:szCs w:val="20"/>
          <w:color w:val="auto"/>
        </w:rPr>
      </w:pPr>
      <w:r>
        <w:rPr>
          <w:rFonts w:ascii="Times New Roman" w:cs="Times New Roman" w:eastAsia="Times New Roman" w:hAnsi="Times New Roman"/>
          <w:sz w:val="22"/>
          <w:szCs w:val="22"/>
          <w:color w:val="auto"/>
        </w:rPr>
        <w:t>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82" w:lineRule="exact"/>
        <w:rPr>
          <w:sz w:val="20"/>
          <w:szCs w:val="20"/>
          <w:color w:val="auto"/>
        </w:rPr>
      </w:pPr>
    </w:p>
    <w:p>
      <w:pPr>
        <w:jc w:val="both"/>
        <w:ind w:left="1920" w:firstLine="887"/>
        <w:spacing w:after="0" w:line="242" w:lineRule="auto"/>
        <w:tabs>
          <w:tab w:leader="none" w:pos="323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Preferred Investment Option, pursuant to the terms hereof.</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55" w:lineRule="auto"/>
        <w:tabs>
          <w:tab w:leader="none" w:pos="161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Holder’s Exercise Limitations</w:t>
      </w:r>
      <w:r>
        <w:rPr>
          <w:rFonts w:ascii="Times New Roman" w:cs="Times New Roman" w:eastAsia="Times New Roman" w:hAnsi="Times New Roman"/>
          <w:sz w:val="20"/>
          <w:szCs w:val="20"/>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0"/>
          <w:szCs w:val="20"/>
          <w:u w:val="single" w:color="auto"/>
          <w:color w:val="auto"/>
        </w:rPr>
        <w:t>Attribution Parties</w:t>
      </w:r>
      <w:r>
        <w:rPr>
          <w:rFonts w:ascii="Times New Roman" w:cs="Times New Roman" w:eastAsia="Times New Roman" w:hAnsi="Times New Roman"/>
          <w:sz w:val="20"/>
          <w:szCs w:val="20"/>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3" w:name="page54"/>
    <w:bookmarkEnd w:id="53"/>
    <w:p>
      <w:pPr>
        <w:jc w:val="both"/>
        <w:ind w:left="420"/>
        <w:spacing w:after="0" w:line="239" w:lineRule="auto"/>
        <w:rPr>
          <w:sz w:val="20"/>
          <w:szCs w:val="20"/>
          <w:color w:val="auto"/>
        </w:rPr>
      </w:pPr>
      <w:r>
        <w:rPr>
          <w:rFonts w:ascii="Times New Roman" w:cs="Times New Roman" w:eastAsia="Times New Roman" w:hAnsi="Times New Roman"/>
          <w:sz w:val="21"/>
          <w:szCs w:val="21"/>
          <w:color w:val="auto"/>
        </w:rPr>
        <w:t>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21"/>
          <w:szCs w:val="21"/>
          <w:u w:val="single" w:color="auto"/>
          <w:color w:val="auto"/>
        </w:rPr>
        <w:t>Beneficial Ownership Limitation</w:t>
      </w:r>
      <w:r>
        <w:rPr>
          <w:rFonts w:ascii="Times New Roman" w:cs="Times New Roman" w:eastAsia="Times New Roman" w:hAnsi="Times New Roman"/>
          <w:sz w:val="21"/>
          <w:szCs w:val="21"/>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188"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Certain Adjustments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1700" w:hanging="535"/>
        <w:spacing w:after="0"/>
        <w:tabs>
          <w:tab w:leader="none" w:pos="17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Preferred Investment Option is</w:t>
      </w:r>
    </w:p>
    <w:p>
      <w:pPr>
        <w:spacing w:after="0" w:line="13" w:lineRule="exact"/>
        <w:rPr>
          <w:rFonts w:ascii="Times New Roman" w:cs="Times New Roman" w:eastAsia="Times New Roman" w:hAnsi="Times New Roman"/>
          <w:sz w:val="22"/>
          <w:szCs w:val="22"/>
          <w:color w:val="auto"/>
        </w:rPr>
      </w:pPr>
    </w:p>
    <w:p>
      <w:pPr>
        <w:jc w:val="both"/>
        <w:ind w:left="420"/>
        <w:spacing w:after="0" w:line="247"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classification.</w:t>
      </w:r>
    </w:p>
    <w:p>
      <w:pPr>
        <w:spacing w:after="0" w:line="145" w:lineRule="exact"/>
        <w:rPr>
          <w:rFonts w:ascii="Times New Roman" w:cs="Times New Roman" w:eastAsia="Times New Roman" w:hAnsi="Times New Roman"/>
          <w:sz w:val="22"/>
          <w:szCs w:val="22"/>
          <w:color w:val="auto"/>
        </w:rPr>
      </w:pPr>
    </w:p>
    <w:p>
      <w:pPr>
        <w:jc w:val="both"/>
        <w:ind w:left="420" w:firstLine="745"/>
        <w:spacing w:after="0" w:line="238" w:lineRule="auto"/>
        <w:tabs>
          <w:tab w:leader="none" w:pos="170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Rights Offerings</w:t>
      </w:r>
      <w:r>
        <w:rPr>
          <w:rFonts w:ascii="Times New Roman" w:cs="Times New Roman" w:eastAsia="Times New Roman" w:hAnsi="Times New Roman"/>
          <w:sz w:val="22"/>
          <w:szCs w:val="22"/>
          <w:color w:val="auto"/>
        </w:rPr>
        <w:t>. In addition to any adjustments pursuant to Section 3(a) above, if at any time the Company grants, issues or sells any Common Stock Equivalents or rights to purchase stock, warrants, securities or other property pro rata to all the record holders of any class of shares of Common Stock (the “</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4" w:name="page55"/>
    <w:bookmarkEnd w:id="54"/>
    <w:p>
      <w:pPr>
        <w:jc w:val="both"/>
        <w:ind w:left="420"/>
        <w:spacing w:after="0" w:line="258" w:lineRule="auto"/>
        <w:rPr>
          <w:sz w:val="20"/>
          <w:szCs w:val="20"/>
          <w:color w:val="auto"/>
        </w:rPr>
      </w:pPr>
      <w:r>
        <w:rPr>
          <w:rFonts w:ascii="Times New Roman" w:cs="Times New Roman" w:eastAsia="Times New Roman" w:hAnsi="Times New Roman"/>
          <w:sz w:val="20"/>
          <w:szCs w:val="20"/>
          <w:color w:val="auto"/>
        </w:rPr>
        <w:t>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(such date, the “</w:t>
      </w:r>
      <w:r>
        <w:rPr>
          <w:rFonts w:ascii="Times New Roman" w:cs="Times New Roman" w:eastAsia="Times New Roman" w:hAnsi="Times New Roman"/>
          <w:sz w:val="20"/>
          <w:szCs w:val="20"/>
          <w:u w:val="single" w:color="auto"/>
          <w:color w:val="auto"/>
        </w:rPr>
        <w:t>Rights Determination Date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the earlier of (i) such time, if ever, as its right thereto would not result in the Holder exceeding the Beneficial Ownership Limitation and (ii) three months after the Rights Determination Date).</w:t>
      </w:r>
    </w:p>
    <w:p>
      <w:pPr>
        <w:spacing w:after="0" w:line="163" w:lineRule="exact"/>
        <w:rPr>
          <w:sz w:val="20"/>
          <w:szCs w:val="20"/>
          <w:color w:val="auto"/>
        </w:rPr>
      </w:pPr>
    </w:p>
    <w:p>
      <w:pPr>
        <w:jc w:val="both"/>
        <w:ind w:left="420" w:firstLine="745"/>
        <w:spacing w:after="0" w:line="232" w:lineRule="auto"/>
        <w:tabs>
          <w:tab w:leader="none" w:pos="170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Distributions</w:t>
      </w:r>
      <w:r>
        <w:rPr>
          <w:rFonts w:ascii="Times New Roman" w:cs="Times New Roman" w:eastAsia="Times New Roman" w:hAnsi="Times New Roman"/>
          <w:sz w:val="22"/>
          <w:szCs w:val="22"/>
          <w:color w:val="auto"/>
        </w:rPr>
        <w:t>. During such time as this Preferred Investment Option is outstanding, if the Company shall declare or make any dividend or other distribution of its assets (or rights to acquire its assets) to all holders of shares of Common Stock as a class,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1" w:lineRule="exact"/>
        <w:rPr>
          <w:rFonts w:ascii="Times New Roman" w:cs="Times New Roman" w:eastAsia="Times New Roman" w:hAnsi="Times New Roman"/>
          <w:sz w:val="22"/>
          <w:szCs w:val="22"/>
          <w:color w:val="auto"/>
        </w:rPr>
      </w:pPr>
    </w:p>
    <w:p>
      <w:pPr>
        <w:jc w:val="both"/>
        <w:ind w:left="420" w:firstLine="745"/>
        <w:spacing w:after="0" w:line="235" w:lineRule="auto"/>
        <w:tabs>
          <w:tab w:leader="none" w:pos="170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Preferred Investment Option is outstanding, (i) the Company, directly or indirectly, in one or more related transactions effects any merger or consolidation of the Company with or into another Person, (ii) the Company (or its Subsidiaries, taken as a whole), directly or indirectly, effects any sale, lease, exclusive license, assignment, transfer, conveyance or other disposition of all or substantially all of its assets in one or a series of related transactions, other than any such disposition of shares of common stock of Above Food Ingredients Inc., (iii) any, direct or indirect, purchase offer, tender offer or exchange offer (whether by the Company or another Person) is completed pursuant to which holders of Common Stock</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5" w:name="page56"/>
    <w:bookmarkEnd w:id="55"/>
    <w:p>
      <w:pPr>
        <w:jc w:val="both"/>
        <w:ind w:left="420"/>
        <w:spacing w:after="0" w:line="231" w:lineRule="auto"/>
        <w:rPr>
          <w:sz w:val="20"/>
          <w:szCs w:val="20"/>
          <w:color w:val="auto"/>
        </w:rPr>
      </w:pPr>
      <w:r>
        <w:rPr>
          <w:rFonts w:ascii="Times New Roman" w:cs="Times New Roman" w:eastAsia="Times New Roman" w:hAnsi="Times New Roman"/>
          <w:sz w:val="22"/>
          <w:szCs w:val="22"/>
          <w:color w:val="auto"/>
        </w:rPr>
        <w:t>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in which both (i) the holders of the voting securities of the Company as of immediately prior to such Fundamental Transaction will not, following such Fundamental Transaction, directly or indirectly own more than 50% of the voting securities of the surviving entity or Successor Entity (as defined below), as applicable, and (ii) the Company is not the Successor Entity or does not continue as a reporting issuer under the Exchange Act ((i) and (ii), the “</w:t>
      </w:r>
      <w:r>
        <w:rPr>
          <w:rFonts w:ascii="Times New Roman" w:cs="Times New Roman" w:eastAsia="Times New Roman" w:hAnsi="Times New Roman"/>
          <w:sz w:val="22"/>
          <w:szCs w:val="22"/>
          <w:b w:val="1"/>
          <w:bCs w:val="1"/>
          <w:color w:val="auto"/>
        </w:rPr>
        <w:t>Buy-back Conditions</w:t>
      </w:r>
      <w:r>
        <w:rPr>
          <w:rFonts w:ascii="Times New Roman" w:cs="Times New Roman" w:eastAsia="Times New Roman" w:hAnsi="Times New Roman"/>
          <w:sz w:val="22"/>
          <w:szCs w:val="22"/>
          <w:color w:val="auto"/>
        </w:rPr>
        <w:t>”),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Buy-back</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6" w:name="page57"/>
    <w:bookmarkEnd w:id="56"/>
    <w:p>
      <w:pPr>
        <w:jc w:val="both"/>
        <w:ind w:left="420"/>
        <w:spacing w:after="0" w:line="254" w:lineRule="auto"/>
        <w:rPr>
          <w:sz w:val="20"/>
          <w:szCs w:val="20"/>
          <w:color w:val="auto"/>
        </w:rPr>
      </w:pPr>
      <w:r>
        <w:rPr>
          <w:rFonts w:ascii="Times New Roman" w:cs="Times New Roman" w:eastAsia="Times New Roman" w:hAnsi="Times New Roman"/>
          <w:sz w:val="20"/>
          <w:szCs w:val="20"/>
          <w:color w:val="auto"/>
        </w:rPr>
        <w:t>Conditions have been satisfied and (1) the Fundamental Transaction is not within the Company's control, including not approved by the Company's Board of Directors, or (2) the Alternate Consideration payable to holders of the Company’s Common Stock in such Fundamental Transaction consists of equity securities of the Successor Entity (or its ultimate parent) that are quoted or listed on a nationally recognized securities exchange, then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where the Buy-back Conditions have been satisfied, such holders of Common Stock will be deemed to have received common stock of the Successor Entity (which Successor Entity may be the Company following such Fundamental Transaction) in such Fundamental Transaction. “Black Scholes Value” means the value of this Preferred Investment Option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(such entity, or if the Company is the surviving or successor entity then the Company, referred to as the “</w:t>
      </w:r>
      <w:r>
        <w:rPr>
          <w:rFonts w:ascii="Times New Roman" w:cs="Times New Roman" w:eastAsia="Times New Roman" w:hAnsi="Times New Roman"/>
          <w:sz w:val="20"/>
          <w:szCs w:val="20"/>
          <w:u w:val="single" w:color="auto"/>
          <w:color w:val="auto"/>
        </w:rPr>
        <w:t>Successor Entity</w:t>
      </w:r>
      <w:r>
        <w:rPr>
          <w:rFonts w:ascii="Times New Roman" w:cs="Times New Roman" w:eastAsia="Times New Roman" w:hAnsi="Times New Roman"/>
          <w:sz w:val="20"/>
          <w:szCs w:val="20"/>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7" w:name="page58"/>
    <w:bookmarkEnd w:id="57"/>
    <w:p>
      <w:pPr>
        <w:jc w:val="both"/>
        <w:ind w:left="420"/>
        <w:spacing w:after="0" w:line="233" w:lineRule="auto"/>
        <w:rPr>
          <w:sz w:val="20"/>
          <w:szCs w:val="20"/>
          <w:color w:val="auto"/>
        </w:rPr>
      </w:pPr>
      <w:r>
        <w:rPr>
          <w:rFonts w:ascii="Times New Roman" w:cs="Times New Roman" w:eastAsia="Times New Roman" w:hAnsi="Times New Roman"/>
          <w:sz w:val="22"/>
          <w:szCs w:val="22"/>
          <w:color w:val="auto"/>
        </w:rPr>
        <w:t>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Preferred Investment Option and the other Transaction Documents referring to the “Company” shall refer instead to the Successor Entity), and may exercise every right and power of the Company and shall assume all of the obligations of the Company under this Preferred Investment Option and the other Transaction Documents with the same effect as if such Successor Entity had been named as the Company herein.</w:t>
      </w:r>
    </w:p>
    <w:p>
      <w:pPr>
        <w:spacing w:after="0" w:line="184" w:lineRule="exact"/>
        <w:rPr>
          <w:sz w:val="20"/>
          <w:szCs w:val="20"/>
          <w:color w:val="auto"/>
        </w:rPr>
      </w:pPr>
    </w:p>
    <w:p>
      <w:pPr>
        <w:jc w:val="both"/>
        <w:ind w:left="420" w:firstLine="745"/>
        <w:spacing w:after="0" w:line="238" w:lineRule="auto"/>
        <w:tabs>
          <w:tab w:leader="none" w:pos="17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1540" w:hanging="375"/>
        <w:spacing w:after="0"/>
        <w:tabs>
          <w:tab w:leader="none" w:pos="15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left="1920" w:firstLine="970"/>
        <w:spacing w:after="0" w:line="270" w:lineRule="auto"/>
        <w:tabs>
          <w:tab w:leader="none" w:pos="323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to Exercise Price</w:t>
      </w:r>
      <w:r>
        <w:rPr>
          <w:rFonts w:ascii="Times New Roman" w:cs="Times New Roman" w:eastAsia="Times New Roman" w:hAnsi="Times New Roman"/>
          <w:sz w:val="20"/>
          <w:szCs w:val="20"/>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50" w:lineRule="exact"/>
        <w:rPr>
          <w:sz w:val="20"/>
          <w:szCs w:val="20"/>
          <w:color w:val="auto"/>
        </w:rPr>
      </w:pPr>
    </w:p>
    <w:p>
      <w:pPr>
        <w:jc w:val="both"/>
        <w:ind w:left="1920" w:firstLine="941"/>
        <w:spacing w:after="0" w:line="232" w:lineRule="auto"/>
        <w:tabs>
          <w:tab w:leader="none" w:pos="323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Allow Exercise by Holder</w:t>
      </w:r>
      <w:r>
        <w:rPr>
          <w:rFonts w:ascii="Times New Roman" w:cs="Times New Roman" w:eastAsia="Times New Roman" w:hAnsi="Times New Roman"/>
          <w:sz w:val="22"/>
          <w:szCs w:val="22"/>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10 calendar days prior to the applicable record or effective date hereinafter specified, a</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8" w:name="page59"/>
    <w:bookmarkEnd w:id="58"/>
    <w:p>
      <w:pPr>
        <w:jc w:val="both"/>
        <w:ind w:left="1920"/>
        <w:spacing w:after="0" w:line="256" w:lineRule="auto"/>
        <w:rPr>
          <w:sz w:val="20"/>
          <w:szCs w:val="20"/>
          <w:color w:val="auto"/>
        </w:rPr>
      </w:pPr>
      <w:r>
        <w:rPr>
          <w:rFonts w:ascii="Times New Roman" w:cs="Times New Roman" w:eastAsia="Times New Roman" w:hAnsi="Times New Roman"/>
          <w:sz w:val="20"/>
          <w:szCs w:val="20"/>
          <w:color w:val="auto"/>
        </w:rPr>
        <w:t>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Preferred Investment Option constitutes, or contains, material, non-public information regarding the Company or any of the Subsidiaries, the Company shall simultaneously file such notice with the Commission pursuant to a Current Report on Form 8-K. The Holder shall remain entitled to exercise this Preferred Investment Option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18"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Transfer of Preferred Investment Option</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420" w:firstLine="745"/>
        <w:spacing w:after="0" w:line="232" w:lineRule="auto"/>
        <w:tabs>
          <w:tab w:leader="none" w:pos="170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59" w:name="page60"/>
    <w:bookmarkEnd w:id="59"/>
    <w:p>
      <w:pPr>
        <w:jc w:val="both"/>
        <w:ind w:left="420" w:firstLine="745"/>
        <w:spacing w:after="0" w:line="233" w:lineRule="auto"/>
        <w:tabs>
          <w:tab w:leader="none" w:pos="170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Preferred Investment Options</w:t>
      </w:r>
      <w:r>
        <w:rPr>
          <w:rFonts w:ascii="Times New Roman" w:cs="Times New Roman" w:eastAsia="Times New Roman" w:hAnsi="Times New Roman"/>
          <w:sz w:val="22"/>
          <w:szCs w:val="22"/>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86"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Investment Option Register</w:t>
      </w:r>
      <w:r>
        <w:rPr>
          <w:rFonts w:ascii="Times New Roman" w:cs="Times New Roman" w:eastAsia="Times New Roman" w:hAnsi="Times New Roman"/>
          <w:sz w:val="22"/>
          <w:szCs w:val="22"/>
          <w:color w:val="auto"/>
        </w:rPr>
        <w:t>. The Company shall register this Preferred Investment Option, upon records to be maintained by the Company for that purpose (the “</w:t>
      </w:r>
      <w:r>
        <w:rPr>
          <w:rFonts w:ascii="Times New Roman" w:cs="Times New Roman" w:eastAsia="Times New Roman" w:hAnsi="Times New Roman"/>
          <w:sz w:val="22"/>
          <w:szCs w:val="22"/>
          <w:u w:val="single" w:color="auto"/>
          <w:color w:val="auto"/>
        </w:rPr>
        <w:t>Preferred Investment Option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65" w:lineRule="auto"/>
        <w:tabs>
          <w:tab w:leader="none" w:pos="170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 If, at the time of the surrender of this Preferred Investment Option in connection with any transfer of this Preferred Investment Option, the transfer of this Preferred Investment Option shall not be either</w:t>
      </w:r>
    </w:p>
    <w:p>
      <w:pPr>
        <w:jc w:val="both"/>
        <w:ind w:left="420" w:hanging="4"/>
        <w:spacing w:after="0" w:line="232" w:lineRule="auto"/>
        <w:tabs>
          <w:tab w:leader="none" w:pos="68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0"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by the Holder</w:t>
      </w:r>
      <w:r>
        <w:rPr>
          <w:rFonts w:ascii="Times New Roman" w:cs="Times New Roman" w:eastAsia="Times New Roman" w:hAnsi="Times New Roman"/>
          <w:sz w:val="22"/>
          <w:szCs w:val="22"/>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79"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420" w:firstLine="745"/>
        <w:spacing w:after="0" w:line="237" w:lineRule="auto"/>
        <w:tabs>
          <w:tab w:leader="none" w:pos="170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the rights of a Holder to receive Preferred Investment Option Shares on a “cashless exercise,” and to receive the cash payments contemplated pursuant to Sections 2(d)(i) and 2(d)(iv), in no</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60" w:name="page61"/>
    <w:bookmarkEnd w:id="60"/>
    <w:p>
      <w:pPr>
        <w:ind w:left="420"/>
        <w:spacing w:after="0"/>
        <w:rPr>
          <w:sz w:val="20"/>
          <w:szCs w:val="20"/>
          <w:color w:val="auto"/>
        </w:rPr>
      </w:pPr>
      <w:r>
        <w:rPr>
          <w:rFonts w:ascii="Times New Roman" w:cs="Times New Roman" w:eastAsia="Times New Roman" w:hAnsi="Times New Roman"/>
          <w:sz w:val="22"/>
          <w:szCs w:val="22"/>
          <w:color w:val="auto"/>
        </w:rPr>
        <w:t>event will the Company be required to net cash settle a Preferred Investment Option exercise.</w:t>
      </w:r>
    </w:p>
    <w:p>
      <w:pPr>
        <w:spacing w:after="0" w:line="205" w:lineRule="exact"/>
        <w:rPr>
          <w:sz w:val="20"/>
          <w:szCs w:val="20"/>
          <w:color w:val="auto"/>
        </w:rPr>
      </w:pPr>
    </w:p>
    <w:p>
      <w:pPr>
        <w:jc w:val="both"/>
        <w:ind w:left="420" w:firstLine="745"/>
        <w:spacing w:after="0" w:line="234" w:lineRule="auto"/>
        <w:tabs>
          <w:tab w:leader="none" w:pos="170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Preferred Investment Option</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1" w:lineRule="exact"/>
        <w:rPr>
          <w:rFonts w:ascii="Times New Roman" w:cs="Times New Roman" w:eastAsia="Times New Roman" w:hAnsi="Times New Roman"/>
          <w:sz w:val="22"/>
          <w:szCs w:val="22"/>
          <w:color w:val="auto"/>
        </w:rPr>
      </w:pPr>
    </w:p>
    <w:p>
      <w:pPr>
        <w:jc w:val="both"/>
        <w:ind w:left="420" w:firstLine="745"/>
        <w:spacing w:after="0" w:line="242" w:lineRule="auto"/>
        <w:tabs>
          <w:tab w:leader="none" w:pos="170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7" w:lineRule="exact"/>
        <w:rPr>
          <w:rFonts w:ascii="Times New Roman" w:cs="Times New Roman" w:eastAsia="Times New Roman" w:hAnsi="Times New Roman"/>
          <w:sz w:val="22"/>
          <w:szCs w:val="22"/>
          <w:color w:val="auto"/>
        </w:rPr>
      </w:pPr>
    </w:p>
    <w:p>
      <w:pPr>
        <w:ind w:left="1700" w:hanging="535"/>
        <w:spacing w:after="0"/>
        <w:tabs>
          <w:tab w:leader="none" w:pos="17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160" w:firstLine="1498"/>
        <w:spacing w:after="0" w:line="232" w:lineRule="auto"/>
        <w:rPr>
          <w:sz w:val="20"/>
          <w:szCs w:val="20"/>
          <w:color w:val="auto"/>
        </w:rPr>
      </w:pPr>
      <w:r>
        <w:rPr>
          <w:rFonts w:ascii="Times New Roman" w:cs="Times New Roman" w:eastAsia="Times New Roman" w:hAnsi="Times New Roman"/>
          <w:sz w:val="22"/>
          <w:szCs w:val="22"/>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4" w:lineRule="exact"/>
        <w:rPr>
          <w:sz w:val="20"/>
          <w:szCs w:val="20"/>
          <w:color w:val="auto"/>
        </w:rPr>
      </w:pPr>
    </w:p>
    <w:p>
      <w:pPr>
        <w:jc w:val="both"/>
        <w:ind w:left="1160" w:firstLine="749"/>
        <w:spacing w:after="0" w:line="238" w:lineRule="auto"/>
        <w:rPr>
          <w:sz w:val="20"/>
          <w:szCs w:val="20"/>
          <w:color w:val="auto"/>
        </w:rPr>
      </w:pPr>
      <w:r>
        <w:rPr>
          <w:rFonts w:ascii="Times New Roman" w:cs="Times New Roman" w:eastAsia="Times New Roman" w:hAnsi="Times New Roman"/>
          <w:sz w:val="22"/>
          <w:szCs w:val="22"/>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61" w:name="page62"/>
    <w:bookmarkEnd w:id="61"/>
    <w:p>
      <w:pPr>
        <w:jc w:val="both"/>
        <w:ind w:left="1160"/>
        <w:spacing w:after="0" w:line="233" w:lineRule="auto"/>
        <w:rPr>
          <w:sz w:val="20"/>
          <w:szCs w:val="20"/>
          <w:color w:val="auto"/>
        </w:rPr>
      </w:pPr>
      <w:r>
        <w:rPr>
          <w:rFonts w:ascii="Times New Roman" w:cs="Times New Roman" w:eastAsia="Times New Roman" w:hAnsi="Times New Roman"/>
          <w:sz w:val="22"/>
          <w:szCs w:val="22"/>
          <w:color w:val="auto"/>
        </w:rPr>
        <w:t>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w:t>
      </w:r>
    </w:p>
    <w:p>
      <w:pPr>
        <w:spacing w:after="0" w:line="2" w:lineRule="exact"/>
        <w:rPr>
          <w:sz w:val="20"/>
          <w:szCs w:val="20"/>
          <w:color w:val="auto"/>
        </w:rPr>
      </w:pPr>
    </w:p>
    <w:p>
      <w:pPr>
        <w:jc w:val="both"/>
        <w:ind w:left="1160" w:firstLine="5"/>
        <w:spacing w:after="0" w:line="234" w:lineRule="auto"/>
        <w:tabs>
          <w:tab w:leader="none" w:pos="157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79" w:lineRule="exact"/>
        <w:rPr>
          <w:sz w:val="20"/>
          <w:szCs w:val="20"/>
          <w:color w:val="auto"/>
        </w:rPr>
      </w:pPr>
    </w:p>
    <w:p>
      <w:pPr>
        <w:jc w:val="both"/>
        <w:ind w:left="1160" w:firstLine="749"/>
        <w:spacing w:after="0" w:line="238"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82" w:lineRule="exact"/>
        <w:rPr>
          <w:sz w:val="20"/>
          <w:szCs w:val="20"/>
          <w:color w:val="auto"/>
        </w:rPr>
      </w:pPr>
    </w:p>
    <w:p>
      <w:pPr>
        <w:ind w:left="420" w:right="20" w:firstLine="745"/>
        <w:spacing w:after="0" w:line="255" w:lineRule="auto"/>
        <w:tabs>
          <w:tab w:leader="none" w:pos="170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Preferred Investment Option shall be determined in accordance with the provisions of the Purchase Agreement.</w:t>
      </w:r>
    </w:p>
    <w:p>
      <w:pPr>
        <w:spacing w:after="0" w:line="162" w:lineRule="exact"/>
        <w:rPr>
          <w:rFonts w:ascii="Times New Roman" w:cs="Times New Roman" w:eastAsia="Times New Roman" w:hAnsi="Times New Roman"/>
          <w:sz w:val="22"/>
          <w:szCs w:val="22"/>
          <w:color w:val="auto"/>
        </w:rPr>
      </w:pPr>
    </w:p>
    <w:p>
      <w:pPr>
        <w:jc w:val="both"/>
        <w:ind w:left="420" w:firstLine="745"/>
        <w:spacing w:after="0" w:line="242" w:lineRule="auto"/>
        <w:tabs>
          <w:tab w:leader="none" w:pos="170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33" w:lineRule="auto"/>
        <w:tabs>
          <w:tab w:leader="none" w:pos="170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or the Company shall operate as a waiver of such right or otherwise prejudice that party’s rights, powers or remedies, notwithstanding the fact that the right to exercise this Preferred Investment Option terminates on the Termination Date. Without limiting any other provision of this Preferred Investment Option or the Purchase Agreement, if either party willfully and knowingly fails to comply with any provision of this Preferred Investment Option, which results in any material damages to the other party, the first party shall pay such amounts as shall be sufficient to cover any costs and expenses including, but not limited to, reasonable attorneys’ fees, including those of appellate proceedings, incurred by the affected party in collecting any amounts due pursuant hereto or in otherwise enforcing any of its rights, powers or remedies hereunder.</w:t>
      </w:r>
    </w:p>
    <w:p>
      <w:pPr>
        <w:spacing w:after="0" w:line="186" w:lineRule="exact"/>
        <w:rPr>
          <w:rFonts w:ascii="Times New Roman" w:cs="Times New Roman" w:eastAsia="Times New Roman" w:hAnsi="Times New Roman"/>
          <w:sz w:val="22"/>
          <w:szCs w:val="22"/>
          <w:color w:val="auto"/>
        </w:rPr>
      </w:pPr>
    </w:p>
    <w:p>
      <w:pPr>
        <w:ind w:left="420" w:right="20" w:firstLine="745"/>
        <w:spacing w:after="0" w:line="255" w:lineRule="auto"/>
        <w:tabs>
          <w:tab w:leader="none" w:pos="170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document required or permitted to be given or delivered to the Holder by the Company shall be delivered in accordance with the notice provisions of the Purchase Agreement.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62" w:name="page63"/>
    <w:bookmarkEnd w:id="62"/>
    <w:p>
      <w:pPr>
        <w:jc w:val="both"/>
        <w:ind w:left="420" w:firstLine="745"/>
        <w:spacing w:after="0" w:line="237" w:lineRule="auto"/>
        <w:tabs>
          <w:tab w:leader="none" w:pos="17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42" w:lineRule="auto"/>
        <w:tabs>
          <w:tab w:leader="none" w:pos="17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Other than Section 2(e) above and this Section 5(l), which may not be amended, modified or waived, this Preferred Investment Option may be modified or amended or the provisions hereof waived with the written consent of the Company and the Holder.</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8" w:lineRule="exact"/>
        <w:rPr>
          <w:rFonts w:ascii="Times New Roman" w:cs="Times New Roman" w:eastAsia="Times New Roman" w:hAnsi="Times New Roman"/>
          <w:sz w:val="22"/>
          <w:szCs w:val="22"/>
          <w:color w:val="auto"/>
        </w:rPr>
      </w:pPr>
    </w:p>
    <w:p>
      <w:pPr>
        <w:ind w:left="420" w:right="20" w:firstLine="745"/>
        <w:spacing w:after="0" w:line="255" w:lineRule="auto"/>
        <w:tabs>
          <w:tab w:leader="none" w:pos="17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Receipt of this Preferred Investment Option by the Holder shall constitute acceptance of and agreement to all of the terms and conditions contained herein.</w:t>
      </w:r>
    </w:p>
    <w:p>
      <w:pPr>
        <w:spacing w:after="0" w:line="162" w:lineRule="exact"/>
        <w:rPr>
          <w:rFonts w:ascii="Times New Roman" w:cs="Times New Roman" w:eastAsia="Times New Roman" w:hAnsi="Times New Roman"/>
          <w:sz w:val="22"/>
          <w:szCs w:val="22"/>
          <w:color w:val="auto"/>
        </w:rPr>
      </w:pPr>
    </w:p>
    <w:p>
      <w:pPr>
        <w:ind w:left="420" w:firstLine="745"/>
        <w:spacing w:after="0" w:line="255" w:lineRule="auto"/>
        <w:tabs>
          <w:tab w:leader="none" w:pos="17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Preferred Investment Option are for the convenience of reference only and shall not, for any purpose, be deemed a part of this Preferred Investment Option.</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w:t>
      </w:r>
    </w:p>
    <w:p>
      <w:pPr>
        <w:spacing w:after="0" w:line="2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63" w:name="page64"/>
    <w:bookmarkEnd w:id="63"/>
    <w:p>
      <w:pPr>
        <w:spacing w:after="0" w:line="208"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2"/>
          <w:szCs w:val="22"/>
          <w:color w:val="auto"/>
        </w:rPr>
        <w:t>IN WITNESS WHEREOF, the Company has caused this Preferred Investment Option to be executed by its officer thereunto duly authorized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By:__________________________________________</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 Thomas J. Schaefer</w:t>
      </w:r>
    </w:p>
    <w:p>
      <w:pPr>
        <w:ind w:left="3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ARCADIA BIOSCIENCES, INC.</w:t>
      </w:r>
    </w:p>
    <w:p>
      <w:pPr>
        <w:spacing w:after="0" w:line="232" w:lineRule="exact"/>
        <w:rPr>
          <w:sz w:val="20"/>
          <w:szCs w:val="20"/>
          <w:color w:val="auto"/>
        </w:rPr>
      </w:pPr>
    </w:p>
    <w:p>
      <w:pPr>
        <w:jc w:val="both"/>
        <w:ind w:firstLine="1505"/>
        <w:spacing w:after="0" w:line="242" w:lineRule="auto"/>
        <w:tabs>
          <w:tab w:leader="none" w:pos="203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(check applicable box):</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 ] in lawful money of the United States; or</w:t>
      </w:r>
    </w:p>
    <w:p>
      <w:pPr>
        <w:spacing w:after="0" w:line="205" w:lineRule="exact"/>
        <w:rPr>
          <w:sz w:val="20"/>
          <w:szCs w:val="20"/>
          <w:color w:val="auto"/>
        </w:rPr>
      </w:pPr>
    </w:p>
    <w:p>
      <w:pPr>
        <w:jc w:val="both"/>
        <w:ind w:left="2260" w:hanging="6"/>
        <w:spacing w:after="0" w:line="238" w:lineRule="auto"/>
        <w:tabs>
          <w:tab w:leader="none" w:pos="245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81" w:lineRule="exact"/>
        <w:rPr>
          <w:rFonts w:ascii="Times New Roman" w:cs="Times New Roman" w:eastAsia="Times New Roman" w:hAnsi="Times New Roman"/>
          <w:sz w:val="22"/>
          <w:szCs w:val="22"/>
          <w:color w:val="auto"/>
        </w:rPr>
      </w:pPr>
    </w:p>
    <w:p>
      <w:pPr>
        <w:ind w:firstLine="1505"/>
        <w:spacing w:after="0" w:line="255" w:lineRule="auto"/>
        <w:tabs>
          <w:tab w:leader="none" w:pos="203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Preferred Investment Option Shares in the name of the undersigned or in such other name as is specified below:</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Preferred Investment Option Shares shall be delivered to the following DWAC Account Number:</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jc w:val="both"/>
        <w:ind w:firstLine="870"/>
        <w:spacing w:after="0" w:line="270" w:lineRule="auto"/>
        <w:tabs>
          <w:tab w:leader="none" w:pos="12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2(e) of the Preferred Investment Option, after giving effect to the number of Preferred Investment Option Shares issuable upon this exercise of the Preferred Investment Option, the undersigned will not beneficially own in excess of 4.99% (or 9.99%, if applicable in accordance with Section 2(e)) of the number of shares of Common Stock of the Company outstanding immediately after giving effect to the issuance of such Preferred Investment Option Shares.</w:t>
      </w:r>
    </w:p>
    <w:p>
      <w:pPr>
        <w:spacing w:after="0" w:line="177" w:lineRule="exact"/>
        <w:rPr>
          <w:rFonts w:ascii="Times New Roman" w:cs="Times New Roman" w:eastAsia="Times New Roman" w:hAnsi="Times New Roman"/>
          <w:sz w:val="20"/>
          <w:szCs w:val="20"/>
          <w:color w:val="auto"/>
        </w:rPr>
      </w:pPr>
    </w:p>
    <w:p>
      <w:pPr>
        <w:ind w:firstLine="870"/>
        <w:spacing w:after="0" w:line="255" w:lineRule="auto"/>
        <w:tabs>
          <w:tab w:leader="none" w:pos="122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The undersigned is an “accredited investor” as defined in Regulation D promulgated under the Securities Act of 1933, as amended.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 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:_____________________________________________</w:t>
      </w:r>
    </w:p>
    <w:p>
      <w:pPr>
        <w:spacing w:after="0"/>
        <w:rPr>
          <w:sz w:val="20"/>
          <w:szCs w:val="20"/>
          <w:color w:val="auto"/>
        </w:rPr>
      </w:pPr>
      <w:r>
        <w:rPr>
          <w:rFonts w:ascii="Times New Roman" w:cs="Times New Roman" w:eastAsia="Times New Roman" w:hAnsi="Times New Roman"/>
          <w:sz w:val="22"/>
          <w:szCs w:val="22"/>
          <w:color w:val="auto"/>
        </w:rPr>
        <w:t>Name of Authorized Signatory:_______________________________________________________________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color w:val="auto"/>
        </w:rPr>
        <w:t>Title of Authorized Signatory: _______________________________________________________________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759" w:right="1440"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FORM</w:t>
      </w:r>
    </w:p>
    <w:p>
      <w:pPr>
        <w:spacing w:after="0" w:line="13" w:lineRule="exact"/>
        <w:rPr>
          <w:sz w:val="20"/>
          <w:szCs w:val="20"/>
          <w:color w:val="auto"/>
        </w:rPr>
      </w:pPr>
    </w:p>
    <w:p>
      <w:pPr>
        <w:ind w:firstLine="294"/>
        <w:spacing w:after="0" w:line="236" w:lineRule="auto"/>
        <w:rPr>
          <w:sz w:val="20"/>
          <w:szCs w:val="20"/>
          <w:color w:val="auto"/>
        </w:rPr>
      </w:pPr>
      <w:r>
        <w:rPr>
          <w:rFonts w:ascii="Times New Roman" w:cs="Times New Roman" w:eastAsia="Times New Roman" w:hAnsi="Times New Roman"/>
          <w:sz w:val="22"/>
          <w:szCs w:val="22"/>
          <w:i w:val="1"/>
          <w:iCs w:val="1"/>
          <w:color w:val="auto"/>
        </w:rPr>
        <w:t>(To assign the foregoing Preferred Investment Option, execute this form and supply required information. Do not use this form to exercise the Preferred Investment Option to purchase shares.)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FOR VALUE RECEIVED, the foregoing Preferred Investment Option and all rights evidenced thereby are hereby assigned to</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300" w:type="dxa"/>
            <w:vAlign w:val="bottom"/>
          </w:tcPr>
          <w:p>
            <w:pPr>
              <w:spacing w:after="0"/>
              <w:rPr>
                <w:sz w:val="24"/>
                <w:szCs w:val="24"/>
                <w:color w:val="auto"/>
              </w:rPr>
            </w:pP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434"/>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Address:</w:t>
            </w:r>
          </w:p>
        </w:tc>
        <w:tc>
          <w:tcPr>
            <w:tcW w:w="694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242"/>
        </w:trPr>
        <w:tc>
          <w:tcPr>
            <w:tcW w:w="4300" w:type="dxa"/>
            <w:vAlign w:val="bottom"/>
          </w:tcPr>
          <w:p>
            <w:pPr>
              <w:spacing w:after="0"/>
              <w:rPr>
                <w:sz w:val="21"/>
                <w:szCs w:val="21"/>
                <w:color w:val="auto"/>
              </w:rPr>
            </w:pPr>
          </w:p>
        </w:tc>
        <w:tc>
          <w:tcPr>
            <w:tcW w:w="6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Phone Number:</w:t>
            </w: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Email Address:</w:t>
            </w: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Dated: _______________ __, ______</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Signature:</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Address:</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8"/>
        </w:trPr>
        <w:tc>
          <w:tcPr>
            <w:tcW w:w="43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67" w:name="page68"/>
    <w:bookmarkEnd w:id="67"/>
    <w:p>
      <w:pPr>
        <w:ind w:left="10240"/>
        <w:spacing w:after="0"/>
        <w:rPr>
          <w:sz w:val="20"/>
          <w:szCs w:val="20"/>
          <w:color w:val="auto"/>
        </w:rPr>
      </w:pPr>
      <w:r>
        <w:rPr>
          <w:rFonts w:ascii="Times New Roman" w:cs="Times New Roman" w:eastAsia="Times New Roman" w:hAnsi="Times New Roman"/>
          <w:sz w:val="20"/>
          <w:szCs w:val="20"/>
          <w:b w:val="1"/>
          <w:bCs w:val="1"/>
          <w:color w:val="auto"/>
        </w:rPr>
        <w:t>Exhibit 4.4</w:t>
      </w:r>
    </w:p>
    <w:p>
      <w:pPr>
        <w:spacing w:after="0" w:line="25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PLACEMENT AGENT PREFERRED INVESTMENT OPTION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pacing w:after="0" w:line="209"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color w:val="auto"/>
        </w:rPr>
        <w:t>Preferred Investment Option Shares: _______</w:t>
      </w:r>
      <w:r>
        <w:rPr>
          <w:sz w:val="20"/>
          <w:szCs w:val="20"/>
          <w:color w:val="auto"/>
        </w:rPr>
        <w:tab/>
      </w:r>
      <w:r>
        <w:rPr>
          <w:rFonts w:ascii="Times New Roman" w:cs="Times New Roman" w:eastAsia="Times New Roman" w:hAnsi="Times New Roman"/>
          <w:sz w:val="20"/>
          <w:szCs w:val="20"/>
          <w:color w:val="auto"/>
        </w:rPr>
        <w:t>Issue Date: June 12, 2026</w:t>
      </w:r>
    </w:p>
    <w:p>
      <w:pPr>
        <w:spacing w:after="0" w:line="200" w:lineRule="exact"/>
        <w:rPr>
          <w:sz w:val="20"/>
          <w:szCs w:val="20"/>
          <w:color w:val="auto"/>
        </w:rPr>
      </w:pPr>
    </w:p>
    <w:p>
      <w:pPr>
        <w:spacing w:after="0" w:line="247" w:lineRule="exact"/>
        <w:rPr>
          <w:sz w:val="20"/>
          <w:szCs w:val="20"/>
          <w:color w:val="auto"/>
        </w:rPr>
      </w:pPr>
    </w:p>
    <w:p>
      <w:pPr>
        <w:jc w:val="both"/>
        <w:ind w:firstLine="1497"/>
        <w:spacing w:after="0" w:line="265" w:lineRule="auto"/>
        <w:rPr>
          <w:sz w:val="20"/>
          <w:szCs w:val="20"/>
          <w:color w:val="auto"/>
        </w:rPr>
      </w:pPr>
      <w:r>
        <w:rPr>
          <w:rFonts w:ascii="Times New Roman" w:cs="Times New Roman" w:eastAsia="Times New Roman" w:hAnsi="Times New Roman"/>
          <w:sz w:val="20"/>
          <w:szCs w:val="20"/>
          <w:color w:val="auto"/>
        </w:rPr>
        <w:t>THIS PLACEMENT AGENT PREFERRED INVESTMENT INVESTMENT OPTION (the “</w:t>
      </w:r>
      <w:r>
        <w:rPr>
          <w:rFonts w:ascii="Times New Roman" w:cs="Times New Roman" w:eastAsia="Times New Roman" w:hAnsi="Times New Roman"/>
          <w:sz w:val="20"/>
          <w:szCs w:val="20"/>
          <w:u w:val="single" w:color="auto"/>
          <w:color w:val="auto"/>
        </w:rPr>
        <w:t>Preferred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Investent Option</w:t>
      </w:r>
      <w:r>
        <w:rPr>
          <w:rFonts w:ascii="Times New Roman" w:cs="Times New Roman" w:eastAsia="Times New Roman" w:hAnsi="Times New Roman"/>
          <w:sz w:val="20"/>
          <w:szCs w:val="20"/>
          <w:color w:val="auto"/>
        </w:rPr>
        <w:t>”) certifies that, for value received, _____________ or its assigns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is entitled, upon the terms and</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subject to the limitations on exercise and the conditions hereinafter set forth, at any time on or after the date hereof (the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Exercise Date</w:t>
      </w:r>
      <w:r>
        <w:rPr>
          <w:rFonts w:ascii="Times New Roman" w:cs="Times New Roman" w:eastAsia="Times New Roman" w:hAnsi="Times New Roman"/>
          <w:sz w:val="20"/>
          <w:szCs w:val="20"/>
          <w:color w:val="auto"/>
        </w:rPr>
        <w:t>”) and on or prior to 5:00 p.m. (New York City time) on the date that is the five (5) year anniversary of the Effective Date, provided that, if such date is not a Trading Day, the date that is the immediately following Trading Day (the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but not thereafter, to subscribe for and purchase from Arcadia Biosciences,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up to ______ shares (as subject to adjustment hereunder, the “</w:t>
      </w:r>
      <w:r>
        <w:rPr>
          <w:rFonts w:ascii="Times New Roman" w:cs="Times New Roman" w:eastAsia="Times New Roman" w:hAnsi="Times New Roman"/>
          <w:sz w:val="20"/>
          <w:szCs w:val="20"/>
          <w:u w:val="single" w:color="auto"/>
          <w:color w:val="auto"/>
        </w:rPr>
        <w:t>Preferred Investment Option Shares</w:t>
      </w:r>
      <w:r>
        <w:rPr>
          <w:rFonts w:ascii="Times New Roman" w:cs="Times New Roman" w:eastAsia="Times New Roman" w:hAnsi="Times New Roman"/>
          <w:sz w:val="20"/>
          <w:szCs w:val="20"/>
          <w:color w:val="auto"/>
        </w:rPr>
        <w:t>”) of the Company’s common</w:t>
      </w:r>
    </w:p>
    <w:p>
      <w:pPr>
        <w:spacing w:after="0" w:line="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purchase price of one share of Common Stock under this Preferred Investment Option shall be equal to the Exercise Price, as defined in Section 2(b). This Warrant is issued pursuant to that certain Engagement Agreement, by and between the Company and H.C. Wainwright &amp; Co., LLC, dated as of January 8. 2026.</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June 11, 2026, among the Company and the purchasers signatory thereto.</w:t>
      </w:r>
    </w:p>
    <w:p>
      <w:pPr>
        <w:spacing w:after="0" w:line="178"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jc w:val="both"/>
        <w:ind w:left="760" w:firstLine="745"/>
        <w:spacing w:after="0" w:line="238" w:lineRule="auto"/>
        <w:tabs>
          <w:tab w:leader="none" w:pos="204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Preferred Investment Option</w:t>
      </w:r>
      <w:r>
        <w:rPr>
          <w:rFonts w:ascii="Times New Roman" w:cs="Times New Roman" w:eastAsia="Times New Roman" w:hAnsi="Times New Roman"/>
          <w:sz w:val="22"/>
          <w:szCs w:val="22"/>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22"/>
          <w:szCs w:val="22"/>
          <w:u w:val="single" w:color="auto"/>
          <w:color w:val="auto"/>
        </w:rPr>
        <w:t>Notice 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68" w:name="page69"/>
    <w:bookmarkEnd w:id="68"/>
    <w:p>
      <w:pPr>
        <w:jc w:val="both"/>
        <w:ind w:left="420"/>
        <w:spacing w:after="0" w:line="255" w:lineRule="auto"/>
        <w:rPr>
          <w:sz w:val="20"/>
          <w:szCs w:val="20"/>
          <w:color w:val="auto"/>
        </w:rPr>
      </w:pP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within three (3) Trading Days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20"/>
          <w:szCs w:val="20"/>
          <w:b w:val="1"/>
          <w:bCs w:val="1"/>
          <w:color w:val="auto"/>
        </w:rPr>
        <w:t>The Holder and any assignee, by acceptance of this Preferred Investment Option,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200" w:lineRule="exact"/>
        <w:rPr>
          <w:sz w:val="20"/>
          <w:szCs w:val="20"/>
          <w:color w:val="auto"/>
        </w:rPr>
      </w:pPr>
    </w:p>
    <w:p>
      <w:pPr>
        <w:spacing w:after="0" w:line="221" w:lineRule="exact"/>
        <w:rPr>
          <w:sz w:val="20"/>
          <w:szCs w:val="20"/>
          <w:color w:val="auto"/>
        </w:rPr>
      </w:pPr>
    </w:p>
    <w:p>
      <w:pPr>
        <w:ind w:left="420" w:firstLine="745"/>
        <w:spacing w:after="0" w:line="255" w:lineRule="auto"/>
        <w:tabs>
          <w:tab w:leader="none" w:pos="170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xml:space="preserve">. The exercise price per share of Common Stock under this Preferred Investment Option shall be </w:t>
      </w:r>
      <w:r>
        <w:rPr>
          <w:rFonts w:ascii="Times New Roman" w:cs="Times New Roman" w:eastAsia="Times New Roman" w:hAnsi="Times New Roman"/>
          <w:sz w:val="22"/>
          <w:szCs w:val="22"/>
          <w:b w:val="1"/>
          <w:bCs w:val="1"/>
          <w:color w:val="auto"/>
        </w:rPr>
        <w:t>$1.2875</w:t>
      </w:r>
      <w:r>
        <w:rPr>
          <w:rFonts w:ascii="Times New Roman" w:cs="Times New Roman" w:eastAsia="Times New Roman" w:hAnsi="Times New Roman"/>
          <w:sz w:val="22"/>
          <w:szCs w:val="22"/>
          <w:color w:val="auto"/>
        </w:rPr>
        <w:t>,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62"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78" w:lineRule="exact"/>
        <w:rPr>
          <w:rFonts w:ascii="Times New Roman" w:cs="Times New Roman" w:eastAsia="Times New Roman" w:hAnsi="Times New Roman"/>
          <w:sz w:val="22"/>
          <w:szCs w:val="22"/>
          <w:color w:val="auto"/>
        </w:rPr>
      </w:pPr>
    </w:p>
    <w:p>
      <w:pPr>
        <w:ind w:left="1820" w:hanging="653"/>
        <w:spacing w:after="0" w:line="235" w:lineRule="auto"/>
        <w:tabs>
          <w:tab w:leader="none" w:pos="152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69" w:name="page70"/>
    <w:bookmarkEnd w:id="69"/>
    <w:p>
      <w:pPr>
        <w:jc w:val="both"/>
        <w:ind w:left="1820"/>
        <w:spacing w:after="0" w:line="233" w:lineRule="auto"/>
        <w:rPr>
          <w:sz w:val="20"/>
          <w:szCs w:val="20"/>
          <w:color w:val="auto"/>
        </w:rPr>
      </w:pPr>
      <w:r>
        <w:rPr>
          <w:rFonts w:ascii="Times New Roman" w:cs="Times New Roman" w:eastAsia="Times New Roman" w:hAnsi="Times New Roman"/>
          <w:sz w:val="22"/>
          <w:szCs w:val="22"/>
          <w:color w:val="auto"/>
        </w:rPr>
        <w:t>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14" w:lineRule="exact"/>
        <w:rPr>
          <w:sz w:val="20"/>
          <w:szCs w:val="20"/>
          <w:color w:val="auto"/>
        </w:rPr>
      </w:pPr>
    </w:p>
    <w:p>
      <w:pPr>
        <w:ind w:left="1500" w:hanging="335"/>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of this Preferred Investment Option, as adjusted hereunder; and</w:t>
      </w:r>
    </w:p>
    <w:p>
      <w:pPr>
        <w:spacing w:after="0" w:line="231" w:lineRule="exact"/>
        <w:rPr>
          <w:rFonts w:ascii="Times New Roman" w:cs="Times New Roman" w:eastAsia="Times New Roman" w:hAnsi="Times New Roman"/>
          <w:sz w:val="22"/>
          <w:szCs w:val="22"/>
          <w:color w:val="auto"/>
        </w:rPr>
      </w:pPr>
    </w:p>
    <w:p>
      <w:pPr>
        <w:ind w:left="1820" w:hanging="653"/>
        <w:spacing w:after="0" w:line="242" w:lineRule="auto"/>
        <w:tabs>
          <w:tab w:leader="none" w:pos="15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204" w:lineRule="exact"/>
        <w:rPr>
          <w:sz w:val="20"/>
          <w:szCs w:val="20"/>
          <w:color w:val="auto"/>
        </w:rPr>
      </w:pPr>
    </w:p>
    <w:p>
      <w:pPr>
        <w:jc w:val="both"/>
        <w:ind w:left="420"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“Bid Price</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mutually determined by the Company and the Holder, provided that, if the Company and the Holder are unable to agree upon the fair market value of such security, then the fair market value will be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jc w:val="both"/>
        <w:ind w:left="4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0" w:name="page71"/>
    <w:bookmarkEnd w:id="70"/>
    <w:p>
      <w:pPr>
        <w:jc w:val="both"/>
        <w:ind w:left="420"/>
        <w:spacing w:after="0" w:line="235" w:lineRule="auto"/>
        <w:rPr>
          <w:sz w:val="20"/>
          <w:szCs w:val="20"/>
          <w:color w:val="auto"/>
        </w:rPr>
      </w:pPr>
      <w:r>
        <w:rPr>
          <w:rFonts w:ascii="Times New Roman" w:cs="Times New Roman" w:eastAsia="Times New Roman" w:hAnsi="Times New Roman"/>
          <w:sz w:val="22"/>
          <w:szCs w:val="22"/>
          <w:color w:val="auto"/>
        </w:rPr>
        <w:t>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11" w:lineRule="exact"/>
        <w:rPr>
          <w:sz w:val="20"/>
          <w:szCs w:val="20"/>
          <w:color w:val="auto"/>
        </w:rPr>
      </w:pPr>
    </w:p>
    <w:p>
      <w:pPr>
        <w:jc w:val="both"/>
        <w:ind w:left="420" w:firstLine="749"/>
        <w:spacing w:after="0" w:line="237" w:lineRule="auto"/>
        <w:rPr>
          <w:sz w:val="20"/>
          <w:szCs w:val="20"/>
          <w:color w:val="auto"/>
        </w:rPr>
      </w:pPr>
      <w:r>
        <w:rPr>
          <w:rFonts w:ascii="Times New Roman" w:cs="Times New Roman" w:eastAsia="Times New Roman" w:hAnsi="Times New Roman"/>
          <w:sz w:val="22"/>
          <w:szCs w:val="22"/>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205" w:lineRule="exact"/>
        <w:rPr>
          <w:sz w:val="20"/>
          <w:szCs w:val="20"/>
          <w:color w:val="auto"/>
        </w:rPr>
      </w:pPr>
    </w:p>
    <w:p>
      <w:pPr>
        <w:ind w:left="1700" w:hanging="535"/>
        <w:spacing w:after="0"/>
        <w:tabs>
          <w:tab w:leader="none" w:pos="17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1920" w:firstLine="970"/>
        <w:spacing w:after="0" w:line="231" w:lineRule="auto"/>
        <w:tabs>
          <w:tab w:leader="none" w:pos="323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Preferred Investment Option Shares Upon Exercise</w:t>
      </w:r>
      <w:r>
        <w:rPr>
          <w:rFonts w:ascii="Times New Roman" w:cs="Times New Roman" w:eastAsia="Times New Roman" w:hAnsi="Times New Roman"/>
          <w:sz w:val="22"/>
          <w:szCs w:val="22"/>
          <w:color w:val="auto"/>
        </w:rPr>
        <w:t>. Following delivery of the Notice of Exercise,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2"/>
          <w:szCs w:val="22"/>
          <w:u w:val="single" w:color="auto"/>
          <w:color w:val="auto"/>
        </w:rPr>
        <w:t>DWAC</w:t>
      </w:r>
      <w:r>
        <w:rPr>
          <w:rFonts w:ascii="Times New Roman" w:cs="Times New Roman" w:eastAsia="Times New Roman" w:hAnsi="Times New Roman"/>
          <w:sz w:val="22"/>
          <w:szCs w:val="22"/>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22"/>
          <w:szCs w:val="22"/>
          <w:u w:val="single" w:color="auto"/>
          <w:color w:val="auto"/>
        </w:rPr>
        <w:t>Preferred Investment Option 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Delivery Date</w:t>
      </w:r>
      <w:r>
        <w:rPr>
          <w:rFonts w:ascii="Times New Roman" w:cs="Times New Roman" w:eastAsia="Times New Roman" w:hAnsi="Times New Roman"/>
          <w:sz w:val="22"/>
          <w:szCs w:val="22"/>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after the delivery of</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1" w:name="page72"/>
    <w:bookmarkEnd w:id="71"/>
    <w:p>
      <w:pPr>
        <w:jc w:val="both"/>
        <w:ind w:left="1920"/>
        <w:spacing w:after="0" w:line="232" w:lineRule="auto"/>
        <w:rPr>
          <w:sz w:val="20"/>
          <w:szCs w:val="20"/>
          <w:color w:val="auto"/>
        </w:rPr>
      </w:pPr>
      <w:r>
        <w:rPr>
          <w:rFonts w:ascii="Times New Roman" w:cs="Times New Roman" w:eastAsia="Times New Roman" w:hAnsi="Times New Roman"/>
          <w:sz w:val="22"/>
          <w:szCs w:val="22"/>
          <w:color w:val="auto"/>
        </w:rPr>
        <w:t>the Notice of Exercise and (ii) the number of Trading Days comprising the Standard Settlement Period after the delivery of the Notice of Exercise. If the Holder has paid the aggregate Exercise Price (other than in the case of a cashless exercise) subject to a Notice of Exercise by the Preferred Investment Option Share Delivery Date and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22"/>
          <w:szCs w:val="22"/>
          <w:u w:val="single" w:color="auto"/>
          <w:color w:val="auto"/>
        </w:rPr>
        <w:t>Standard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Settlement Period</w:t>
      </w:r>
      <w:r>
        <w:rPr>
          <w:rFonts w:ascii="Times New Roman" w:cs="Times New Roman" w:eastAsia="Times New Roman" w:hAnsi="Times New Roman"/>
          <w:sz w:val="22"/>
          <w:szCs w:val="22"/>
          <w:color w:val="auto"/>
        </w:rPr>
        <w:t>” means the standard settlement period, expressed in a number of Trading Days, on the Company’s primary Trading Market with respect to the Common Stock as in effect on the date of delivery of the Notice of Exercise.</w:t>
      </w:r>
    </w:p>
    <w:p>
      <w:pPr>
        <w:spacing w:after="0" w:line="182" w:lineRule="exact"/>
        <w:rPr>
          <w:sz w:val="20"/>
          <w:szCs w:val="20"/>
          <w:color w:val="auto"/>
        </w:rPr>
      </w:pPr>
    </w:p>
    <w:p>
      <w:pPr>
        <w:jc w:val="both"/>
        <w:ind w:left="1920" w:firstLine="941"/>
        <w:spacing w:after="0" w:line="235" w:lineRule="auto"/>
        <w:tabs>
          <w:tab w:leader="none" w:pos="323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New Preferred Investment Options Upon Exercise</w:t>
      </w:r>
      <w:r>
        <w:rPr>
          <w:rFonts w:ascii="Times New Roman" w:cs="Times New Roman" w:eastAsia="Times New Roman" w:hAnsi="Times New Roman"/>
          <w:sz w:val="22"/>
          <w:szCs w:val="22"/>
          <w:color w:val="auto"/>
        </w:rPr>
        <w:t>. If this Preferred Investment Option shall have been exercised in part, the Company shall, at the request of a Holder and upon surrender of this Preferred Investment Option,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79" w:lineRule="exact"/>
        <w:rPr>
          <w:sz w:val="20"/>
          <w:szCs w:val="20"/>
          <w:color w:val="auto"/>
        </w:rPr>
      </w:pPr>
    </w:p>
    <w:p>
      <w:pPr>
        <w:jc w:val="both"/>
        <w:ind w:left="1920" w:firstLine="911"/>
        <w:spacing w:after="0" w:line="238" w:lineRule="auto"/>
        <w:tabs>
          <w:tab w:leader="none" w:pos="323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Preferred Investment Option Shares pursuant to Section 2(d)(i) by the Preferred Investment Option Share Delivery Date, then the Holder will have the right to rescind such exercise on or before the second Trading Day following delivery of such Preferred Investment Option Shares.</w:t>
      </w:r>
    </w:p>
    <w:p>
      <w:pPr>
        <w:spacing w:after="0" w:line="181" w:lineRule="exact"/>
        <w:rPr>
          <w:rFonts w:ascii="Times New Roman" w:cs="Times New Roman" w:eastAsia="Times New Roman" w:hAnsi="Times New Roman"/>
          <w:sz w:val="22"/>
          <w:szCs w:val="22"/>
          <w:color w:val="auto"/>
        </w:rPr>
      </w:pPr>
    </w:p>
    <w:p>
      <w:pPr>
        <w:jc w:val="both"/>
        <w:ind w:left="1920" w:firstLine="917"/>
        <w:spacing w:after="0" w:line="235" w:lineRule="auto"/>
        <w:tabs>
          <w:tab w:leader="none" w:pos="323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for Buy-In on Failure to Timely Deliver Preferred Investment Option Shares Upon Exercise</w:t>
      </w:r>
      <w:r>
        <w:rPr>
          <w:rFonts w:ascii="Times New Roman" w:cs="Times New Roman" w:eastAsia="Times New Roman" w:hAnsi="Times New Roman"/>
          <w:sz w:val="22"/>
          <w:szCs w:val="22"/>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the aggregate Exercise Price is paid on or before the Preferred</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2" w:name="page73"/>
    <w:bookmarkEnd w:id="72"/>
    <w:p>
      <w:pPr>
        <w:jc w:val="both"/>
        <w:ind w:left="1920"/>
        <w:spacing w:after="0" w:line="231" w:lineRule="auto"/>
        <w:rPr>
          <w:sz w:val="20"/>
          <w:szCs w:val="20"/>
          <w:color w:val="auto"/>
        </w:rPr>
      </w:pPr>
      <w:r>
        <w:rPr>
          <w:rFonts w:ascii="Times New Roman" w:cs="Times New Roman" w:eastAsia="Times New Roman" w:hAnsi="Times New Roman"/>
          <w:sz w:val="22"/>
          <w:szCs w:val="22"/>
          <w:color w:val="auto"/>
        </w:rPr>
        <w:t>Investment Option Share Delivery Date, other than in the case of a cashless exercise),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22"/>
          <w:szCs w:val="22"/>
          <w:u w:val="single" w:color="auto"/>
          <w:color w:val="auto"/>
        </w:rPr>
        <w:t>Buy-In</w:t>
      </w:r>
      <w:r>
        <w:rPr>
          <w:rFonts w:ascii="Times New Roman" w:cs="Times New Roman" w:eastAsia="Times New Roman" w:hAnsi="Times New Roman"/>
          <w:sz w:val="22"/>
          <w:szCs w:val="22"/>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sz w:val="20"/>
          <w:szCs w:val="20"/>
          <w:color w:val="auto"/>
        </w:rPr>
      </w:pPr>
    </w:p>
    <w:p>
      <w:pPr>
        <w:jc w:val="both"/>
        <w:ind w:left="1920" w:firstLine="947"/>
        <w:spacing w:after="0" w:line="237" w:lineRule="auto"/>
        <w:tabs>
          <w:tab w:leader="none" w:pos="323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sz w:val="20"/>
          <w:szCs w:val="20"/>
          <w:color w:val="auto"/>
        </w:rPr>
      </w:pPr>
    </w:p>
    <w:p>
      <w:pPr>
        <w:jc w:val="both"/>
        <w:ind w:left="1920" w:firstLine="917"/>
        <w:spacing w:after="0" w:line="237" w:lineRule="auto"/>
        <w:tabs>
          <w:tab w:leader="none" w:pos="323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3" w:name="page74"/>
    <w:bookmarkEnd w:id="73"/>
    <w:p>
      <w:pPr>
        <w:jc w:val="both"/>
        <w:ind w:left="1920"/>
        <w:spacing w:after="0" w:line="234" w:lineRule="auto"/>
        <w:rPr>
          <w:sz w:val="20"/>
          <w:szCs w:val="20"/>
          <w:color w:val="auto"/>
        </w:rPr>
      </w:pPr>
      <w:r>
        <w:rPr>
          <w:rFonts w:ascii="Times New Roman" w:cs="Times New Roman" w:eastAsia="Times New Roman" w:hAnsi="Times New Roman"/>
          <w:sz w:val="22"/>
          <w:szCs w:val="22"/>
          <w:color w:val="auto"/>
        </w:rPr>
        <w:t xml:space="preserve">names as may be directed by the 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82" w:lineRule="exact"/>
        <w:rPr>
          <w:sz w:val="20"/>
          <w:szCs w:val="20"/>
          <w:color w:val="auto"/>
        </w:rPr>
      </w:pPr>
    </w:p>
    <w:p>
      <w:pPr>
        <w:jc w:val="both"/>
        <w:ind w:left="1920" w:firstLine="887"/>
        <w:spacing w:after="0" w:line="242" w:lineRule="auto"/>
        <w:tabs>
          <w:tab w:leader="none" w:pos="323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Preferred Investment Option, pursuant to the terms hereof.</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31" w:lineRule="auto"/>
        <w:tabs>
          <w:tab w:leader="none" w:pos="161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Holder’s Exercise Limitations</w:t>
      </w:r>
      <w:r>
        <w:rPr>
          <w:rFonts w:ascii="Times New Roman" w:cs="Times New Roman" w:eastAsia="Times New Roman" w:hAnsi="Times New Roman"/>
          <w:sz w:val="22"/>
          <w:szCs w:val="22"/>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2"/>
          <w:szCs w:val="22"/>
          <w:u w:val="single" w:color="auto"/>
          <w:color w:val="auto"/>
        </w:rPr>
        <w:t>Attribution Parties</w:t>
      </w:r>
      <w:r>
        <w:rPr>
          <w:rFonts w:ascii="Times New Roman" w:cs="Times New Roman" w:eastAsia="Times New Roman" w:hAnsi="Times New Roman"/>
          <w:sz w:val="22"/>
          <w:szCs w:val="22"/>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4" w:name="page75"/>
    <w:bookmarkEnd w:id="74"/>
    <w:p>
      <w:pPr>
        <w:jc w:val="both"/>
        <w:ind w:left="420"/>
        <w:spacing w:after="0" w:line="229" w:lineRule="auto"/>
        <w:rPr>
          <w:sz w:val="20"/>
          <w:szCs w:val="20"/>
          <w:color w:val="auto"/>
        </w:rPr>
      </w:pPr>
      <w:r>
        <w:rPr>
          <w:rFonts w:ascii="Times New Roman" w:cs="Times New Roman" w:eastAsia="Times New Roman" w:hAnsi="Times New Roman"/>
          <w:sz w:val="22"/>
          <w:szCs w:val="22"/>
          <w:color w:val="auto"/>
        </w:rPr>
        <w:t>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Limitation</w:t>
      </w:r>
      <w:r>
        <w:rPr>
          <w:rFonts w:ascii="Times New Roman" w:cs="Times New Roman" w:eastAsia="Times New Roman" w:hAnsi="Times New Roman"/>
          <w:sz w:val="22"/>
          <w:szCs w:val="22"/>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179"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Certain Adjustments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1700" w:hanging="535"/>
        <w:spacing w:after="0"/>
        <w:tabs>
          <w:tab w:leader="none" w:pos="17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Preferred Investment Option is</w:t>
      </w:r>
    </w:p>
    <w:p>
      <w:pPr>
        <w:spacing w:after="0" w:line="13" w:lineRule="exact"/>
        <w:rPr>
          <w:rFonts w:ascii="Times New Roman" w:cs="Times New Roman" w:eastAsia="Times New Roman" w:hAnsi="Times New Roman"/>
          <w:sz w:val="22"/>
          <w:szCs w:val="22"/>
          <w:color w:val="auto"/>
        </w:rPr>
      </w:pPr>
    </w:p>
    <w:p>
      <w:pPr>
        <w:jc w:val="both"/>
        <w:ind w:left="420"/>
        <w:spacing w:after="0" w:line="247"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classification.</w:t>
      </w:r>
    </w:p>
    <w:p>
      <w:pPr>
        <w:spacing w:after="0" w:line="145" w:lineRule="exact"/>
        <w:rPr>
          <w:rFonts w:ascii="Times New Roman" w:cs="Times New Roman" w:eastAsia="Times New Roman" w:hAnsi="Times New Roman"/>
          <w:sz w:val="22"/>
          <w:szCs w:val="22"/>
          <w:color w:val="auto"/>
        </w:rPr>
      </w:pPr>
    </w:p>
    <w:p>
      <w:pPr>
        <w:jc w:val="both"/>
        <w:ind w:left="420" w:firstLine="745"/>
        <w:spacing w:after="0" w:line="279" w:lineRule="auto"/>
        <w:tabs>
          <w:tab w:leader="none" w:pos="170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Rights Offerings</w:t>
      </w:r>
      <w:r>
        <w:rPr>
          <w:rFonts w:ascii="Times New Roman" w:cs="Times New Roman" w:eastAsia="Times New Roman" w:hAnsi="Times New Roman"/>
          <w:sz w:val="20"/>
          <w:szCs w:val="20"/>
          <w:color w:val="auto"/>
        </w:rPr>
        <w:t>. In addition to any adjustments pursuant to Section 3(a) above, if at any time the Company grants, issues or sells any Common Stock Equivalents or rights to purchase stock, warrants, securities or other property pro rata to all the record holders of any class of shares of Common Stock (the “</w:t>
      </w:r>
      <w:r>
        <w:rPr>
          <w:rFonts w:ascii="Times New Roman" w:cs="Times New Roman" w:eastAsia="Times New Roman" w:hAnsi="Times New Roman"/>
          <w:sz w:val="20"/>
          <w:szCs w:val="20"/>
          <w:u w:val="single" w:color="auto"/>
          <w:color w:val="auto"/>
        </w:rPr>
        <w:t>Purchase Rights</w:t>
      </w:r>
      <w:r>
        <w:rPr>
          <w:rFonts w:ascii="Times New Roman" w:cs="Times New Roman" w:eastAsia="Times New Roman" w:hAnsi="Times New Roman"/>
          <w:sz w:val="20"/>
          <w:szCs w:val="20"/>
          <w:color w:val="auto"/>
        </w:rPr>
        <w:t>”), then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5" w:name="page76"/>
    <w:bookmarkEnd w:id="75"/>
    <w:p>
      <w:pPr>
        <w:jc w:val="both"/>
        <w:ind w:left="420"/>
        <w:spacing w:after="0" w:line="232" w:lineRule="auto"/>
        <w:rPr>
          <w:sz w:val="20"/>
          <w:szCs w:val="20"/>
          <w:color w:val="auto"/>
        </w:rPr>
      </w:pPr>
      <w:r>
        <w:rPr>
          <w:rFonts w:ascii="Times New Roman" w:cs="Times New Roman" w:eastAsia="Times New Roman" w:hAnsi="Times New Roman"/>
          <w:sz w:val="22"/>
          <w:szCs w:val="22"/>
          <w:color w:val="auto"/>
        </w:rPr>
        <w:t>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(such date, the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the earlier of (i) such time, if ever, as its right thereto would not result in the Holder exceeding the Beneficial Ownership Limitation and (ii) three months after the Rights Determination Date).</w:t>
      </w:r>
    </w:p>
    <w:p>
      <w:pPr>
        <w:spacing w:after="0" w:line="190" w:lineRule="exact"/>
        <w:rPr>
          <w:sz w:val="20"/>
          <w:szCs w:val="20"/>
          <w:color w:val="auto"/>
        </w:rPr>
      </w:pPr>
    </w:p>
    <w:p>
      <w:pPr>
        <w:jc w:val="both"/>
        <w:ind w:left="420" w:firstLine="745"/>
        <w:spacing w:after="0" w:line="232" w:lineRule="auto"/>
        <w:tabs>
          <w:tab w:leader="none" w:pos="170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Distributions</w:t>
      </w:r>
      <w:r>
        <w:rPr>
          <w:rFonts w:ascii="Times New Roman" w:cs="Times New Roman" w:eastAsia="Times New Roman" w:hAnsi="Times New Roman"/>
          <w:sz w:val="22"/>
          <w:szCs w:val="22"/>
          <w:color w:val="auto"/>
        </w:rPr>
        <w:t>. During such time as this Preferred Investment Option is outstanding, if the Company shall declare or make any dividend or other distribution of its assets (or rights to acquire its assets) to all holders of shares of Common Stock as a class,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1" w:lineRule="exact"/>
        <w:rPr>
          <w:rFonts w:ascii="Times New Roman" w:cs="Times New Roman" w:eastAsia="Times New Roman" w:hAnsi="Times New Roman"/>
          <w:sz w:val="22"/>
          <w:szCs w:val="22"/>
          <w:color w:val="auto"/>
        </w:rPr>
      </w:pPr>
    </w:p>
    <w:p>
      <w:pPr>
        <w:jc w:val="both"/>
        <w:ind w:left="420" w:firstLine="745"/>
        <w:spacing w:after="0" w:line="235" w:lineRule="auto"/>
        <w:tabs>
          <w:tab w:leader="none" w:pos="170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Preferred Investment Option is outstanding, (i) the Company, directly or indirectly, in one or more related transactions effects any merger or consolidation of the Company with or into another Person, (ii) the Company (or its Subsidiaries, taken as a whole), directly or indirectly, effects any sale, lease, exclusive license, assignment, transfer, conveyance or other disposition of all or substantially all of its assets in one or a series of related transactions, other than any such disposition of shares of common stock of Above Food Ingredients Inc., (iii) any, direct or indirect, purchase offer, tender offer or exchange offer (whether by the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6" w:name="page77"/>
    <w:bookmarkEnd w:id="76"/>
    <w:p>
      <w:pPr>
        <w:jc w:val="both"/>
        <w:ind w:left="420"/>
        <w:spacing w:after="0" w:line="231" w:lineRule="auto"/>
        <w:rPr>
          <w:sz w:val="20"/>
          <w:szCs w:val="20"/>
          <w:color w:val="auto"/>
        </w:rPr>
      </w:pPr>
      <w:r>
        <w:rPr>
          <w:rFonts w:ascii="Times New Roman" w:cs="Times New Roman" w:eastAsia="Times New Roman" w:hAnsi="Times New Roman"/>
          <w:sz w:val="22"/>
          <w:szCs w:val="22"/>
          <w:color w:val="auto"/>
        </w:rPr>
        <w:t>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in which both (i) the holders of the voting securities of the Company as of immediately prior to such Fundamental Transaction will not, following such Fundamental Transaction, directly or indirectly own more than 50% of the voting securities of the surviving entity or Successor Entity (as defined below), as applicable, and (ii) the Company is not the Successor Entity or does not continue as a reporting issuer under the Exchange Act ((i) and (ii), the “</w:t>
      </w:r>
      <w:r>
        <w:rPr>
          <w:rFonts w:ascii="Times New Roman" w:cs="Times New Roman" w:eastAsia="Times New Roman" w:hAnsi="Times New Roman"/>
          <w:sz w:val="22"/>
          <w:szCs w:val="22"/>
          <w:b w:val="1"/>
          <w:bCs w:val="1"/>
          <w:color w:val="auto"/>
        </w:rPr>
        <w:t>Buy-back Conditions</w:t>
      </w:r>
      <w:r>
        <w:rPr>
          <w:rFonts w:ascii="Times New Roman" w:cs="Times New Roman" w:eastAsia="Times New Roman" w:hAnsi="Times New Roman"/>
          <w:sz w:val="22"/>
          <w:szCs w:val="22"/>
          <w:color w:val="auto"/>
        </w:rPr>
        <w:t>”),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7" w:name="page78"/>
    <w:bookmarkEnd w:id="77"/>
    <w:p>
      <w:pPr>
        <w:jc w:val="both"/>
        <w:ind w:left="420"/>
        <w:spacing w:after="0" w:line="255" w:lineRule="auto"/>
        <w:rPr>
          <w:sz w:val="20"/>
          <w:szCs w:val="20"/>
          <w:color w:val="auto"/>
        </w:rPr>
      </w:pPr>
      <w:r>
        <w:rPr>
          <w:rFonts w:ascii="Times New Roman" w:cs="Times New Roman" w:eastAsia="Times New Roman" w:hAnsi="Times New Roman"/>
          <w:sz w:val="20"/>
          <w:szCs w:val="20"/>
          <w:color w:val="auto"/>
        </w:rPr>
        <w:t>consummation of such Fundamental Transaction; provided, however, that, if the Buy-back Conditions have been satisfied and (1) the Fundamental Transaction is not within the Company's control, including not approved by the Company's Board of Directors, or (2) the Alternate Consideration payable to holders of the Company’s Common Stock in such Fundamental Transaction consists of equity securities of the Successor Entity (or its ultimate parent) that are quoted or listed on a nationally recognized securities exchange, then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where the Buy-back Conditions have been satisfied, such holders of Common Stock will be deemed to have received common stock of the Successor Entity (which Successor Entity may be the Company following such Fundamental Transaction) in such Fundamental Transaction. “Black Scholes Value” means the value of this Preferred Investment Option based on the Black-Scholes Option Pricing Model obtained from the “OV” function on Bloomberg determined as of the day of consummation of the applicable Fundamental Transaction for pricing purposes and reflecting</w:t>
      </w:r>
    </w:p>
    <w:p>
      <w:pPr>
        <w:spacing w:after="0" w:line="238" w:lineRule="exact"/>
        <w:rPr>
          <w:sz w:val="20"/>
          <w:szCs w:val="20"/>
          <w:color w:val="auto"/>
        </w:rPr>
      </w:pPr>
    </w:p>
    <w:p>
      <w:pPr>
        <w:jc w:val="both"/>
        <w:ind w:left="420" w:hanging="4"/>
        <w:spacing w:after="0" w:line="230" w:lineRule="auto"/>
        <w:tabs>
          <w:tab w:leader="none" w:pos="7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risk-free interest rate corresponding to the U.S. Treasury rate for a period equal to the time between the date of the public announcement of the applicable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(such entity, or if the Company is the surviving or successor entity then the Company, referred to as the “</w:t>
      </w:r>
      <w:r>
        <w:rPr>
          <w:rFonts w:ascii="Times New Roman" w:cs="Times New Roman" w:eastAsia="Times New Roman" w:hAnsi="Times New Roman"/>
          <w:sz w:val="22"/>
          <w:szCs w:val="22"/>
          <w:u w:val="single" w:color="auto"/>
          <w:color w:val="auto"/>
        </w:rPr>
        <w:t>Successor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8" w:name="page79"/>
    <w:bookmarkEnd w:id="78"/>
    <w:p>
      <w:pPr>
        <w:jc w:val="both"/>
        <w:ind w:left="420"/>
        <w:spacing w:after="0" w:line="233" w:lineRule="auto"/>
        <w:rPr>
          <w:sz w:val="20"/>
          <w:szCs w:val="20"/>
          <w:color w:val="auto"/>
        </w:rPr>
      </w:pPr>
      <w:r>
        <w:rPr>
          <w:rFonts w:ascii="Times New Roman" w:cs="Times New Roman" w:eastAsia="Times New Roman" w:hAnsi="Times New Roman"/>
          <w:sz w:val="22"/>
          <w:szCs w:val="22"/>
          <w:color w:val="auto"/>
        </w:rPr>
        <w:t>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Preferred Investment Option and the other Transaction Documents referring to the “Company” shall refer instead to the Successor Entity), and may exercise every right and power of the Company and shall assume all of the obligations of the Company under this Preferred Investment Option and the other Transaction Documents with the same effect as if such Successor Entity had been named as the Company herein.</w:t>
      </w:r>
    </w:p>
    <w:p>
      <w:pPr>
        <w:spacing w:after="0" w:line="181" w:lineRule="exact"/>
        <w:rPr>
          <w:sz w:val="20"/>
          <w:szCs w:val="20"/>
          <w:color w:val="auto"/>
        </w:rPr>
      </w:pPr>
    </w:p>
    <w:p>
      <w:pPr>
        <w:jc w:val="both"/>
        <w:ind w:left="420" w:firstLine="745"/>
        <w:spacing w:after="0" w:line="238" w:lineRule="auto"/>
        <w:tabs>
          <w:tab w:leader="none" w:pos="170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1540" w:hanging="375"/>
        <w:spacing w:after="0"/>
        <w:tabs>
          <w:tab w:leader="none" w:pos="15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31" w:lineRule="exact"/>
        <w:rPr>
          <w:rFonts w:ascii="Times New Roman" w:cs="Times New Roman" w:eastAsia="Times New Roman" w:hAnsi="Times New Roman"/>
          <w:sz w:val="22"/>
          <w:szCs w:val="22"/>
          <w:color w:val="auto"/>
        </w:rPr>
      </w:pPr>
    </w:p>
    <w:p>
      <w:pPr>
        <w:jc w:val="both"/>
        <w:ind w:left="1920" w:firstLine="970"/>
        <w:spacing w:after="0" w:line="270" w:lineRule="auto"/>
        <w:tabs>
          <w:tab w:leader="none" w:pos="323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to Exercise Price</w:t>
      </w:r>
      <w:r>
        <w:rPr>
          <w:rFonts w:ascii="Times New Roman" w:cs="Times New Roman" w:eastAsia="Times New Roman" w:hAnsi="Times New Roman"/>
          <w:sz w:val="20"/>
          <w:szCs w:val="20"/>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50" w:lineRule="exact"/>
        <w:rPr>
          <w:sz w:val="20"/>
          <w:szCs w:val="20"/>
          <w:color w:val="auto"/>
        </w:rPr>
      </w:pPr>
    </w:p>
    <w:p>
      <w:pPr>
        <w:jc w:val="both"/>
        <w:ind w:left="1920" w:firstLine="941"/>
        <w:spacing w:after="0" w:line="257" w:lineRule="auto"/>
        <w:tabs>
          <w:tab w:leader="none" w:pos="323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to Allow Exercise by Holder</w:t>
      </w:r>
      <w:r>
        <w:rPr>
          <w:rFonts w:ascii="Times New Roman" w:cs="Times New Roman" w:eastAsia="Times New Roman" w:hAnsi="Times New Roman"/>
          <w:sz w:val="20"/>
          <w:szCs w:val="20"/>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10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79" w:name="page80"/>
    <w:bookmarkEnd w:id="79"/>
    <w:p>
      <w:pPr>
        <w:jc w:val="both"/>
        <w:ind w:left="1920"/>
        <w:spacing w:after="0" w:line="232" w:lineRule="auto"/>
        <w:rPr>
          <w:sz w:val="20"/>
          <w:szCs w:val="20"/>
          <w:color w:val="auto"/>
        </w:rPr>
      </w:pPr>
      <w:r>
        <w:rPr>
          <w:rFonts w:ascii="Times New Roman" w:cs="Times New Roman" w:eastAsia="Times New Roman" w:hAnsi="Times New Roman"/>
          <w:sz w:val="22"/>
          <w:szCs w:val="22"/>
          <w:color w:val="auto"/>
        </w:rPr>
        <w:t>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Preferred Investment Option constitutes, or contains, material, non-public information regarding the Company or any of the Subsidiaries, the Company shall simultaneously file such notice with the Commission pursuant to a Current Report on Form 8-K. The Holder shall remain entitled to exercise this Preferred Investment Option during the period commencing on the date of such notice to the effective date of the event triggering such notice except as may otherwise be expressly set forth herein.</w:t>
      </w:r>
    </w:p>
    <w:p>
      <w:pPr>
        <w:spacing w:after="0" w:line="182"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Transfer of Preferred Investment Option</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420" w:firstLine="745"/>
        <w:spacing w:after="0" w:line="232" w:lineRule="auto"/>
        <w:tabs>
          <w:tab w:leader="none" w:pos="170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80" w:name="page81"/>
    <w:bookmarkEnd w:id="80"/>
    <w:p>
      <w:pPr>
        <w:jc w:val="both"/>
        <w:ind w:left="420" w:firstLine="745"/>
        <w:spacing w:after="0" w:line="233" w:lineRule="auto"/>
        <w:tabs>
          <w:tab w:leader="none" w:pos="170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Preferred Investment Options</w:t>
      </w:r>
      <w:r>
        <w:rPr>
          <w:rFonts w:ascii="Times New Roman" w:cs="Times New Roman" w:eastAsia="Times New Roman" w:hAnsi="Times New Roman"/>
          <w:sz w:val="22"/>
          <w:szCs w:val="22"/>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86" w:lineRule="exact"/>
        <w:rPr>
          <w:rFonts w:ascii="Times New Roman" w:cs="Times New Roman" w:eastAsia="Times New Roman" w:hAnsi="Times New Roman"/>
          <w:sz w:val="22"/>
          <w:szCs w:val="22"/>
          <w:color w:val="auto"/>
        </w:rPr>
      </w:pPr>
    </w:p>
    <w:p>
      <w:pPr>
        <w:jc w:val="both"/>
        <w:ind w:left="420" w:firstLine="745"/>
        <w:spacing w:after="0" w:line="260" w:lineRule="auto"/>
        <w:tabs>
          <w:tab w:leader="none" w:pos="1708"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Preferred Investment Option Register</w:t>
      </w:r>
      <w:r>
        <w:rPr>
          <w:rFonts w:ascii="Times New Roman" w:cs="Times New Roman" w:eastAsia="Times New Roman" w:hAnsi="Times New Roman"/>
          <w:sz w:val="20"/>
          <w:szCs w:val="20"/>
          <w:color w:val="auto"/>
        </w:rPr>
        <w:t>. The Company shall act as the preferred investment option agent to the Holder. The Company shall register this Preferred Investment Option, upon records to be maintained by the Company for that purpose (the “</w:t>
      </w:r>
      <w:r>
        <w:rPr>
          <w:rFonts w:ascii="Times New Roman" w:cs="Times New Roman" w:eastAsia="Times New Roman" w:hAnsi="Times New Roman"/>
          <w:sz w:val="20"/>
          <w:szCs w:val="20"/>
          <w:u w:val="single" w:color="auto"/>
          <w:color w:val="auto"/>
        </w:rPr>
        <w:t>Preferred Investment Option Register</w:t>
      </w:r>
      <w:r>
        <w:rPr>
          <w:rFonts w:ascii="Times New Roman" w:cs="Times New Roman" w:eastAsia="Times New Roman" w:hAnsi="Times New Roman"/>
          <w:sz w:val="20"/>
          <w:szCs w:val="20"/>
          <w:color w:val="auto"/>
        </w:rPr>
        <w:t>”), in the name of the record Holder hereof for the benefit of the Holder. The Company may deem and treat the registered Holder of this Preferred Investment Option as the absolute owner hereof for the purpose of any exercise hereof or any distribution to the Holder, and for all other purposes, absent actual notice to the contrary. The Holder shall have the right to request at any time the issuance of an ink-original preferred investment option evidencing the ownership of this Preferred Investment Option to such Holder, which shall be dated the Issue Date and delivered to the address specified by the Holder within one (1) Trading Day upon request.</w:t>
      </w:r>
    </w:p>
    <w:p>
      <w:pPr>
        <w:spacing w:after="0" w:line="161" w:lineRule="exact"/>
        <w:rPr>
          <w:rFonts w:ascii="Times New Roman" w:cs="Times New Roman" w:eastAsia="Times New Roman" w:hAnsi="Times New Roman"/>
          <w:sz w:val="20"/>
          <w:szCs w:val="20"/>
          <w:color w:val="auto"/>
        </w:rPr>
      </w:pPr>
    </w:p>
    <w:p>
      <w:pPr>
        <w:jc w:val="both"/>
        <w:ind w:left="420" w:firstLine="745"/>
        <w:spacing w:after="0" w:line="265" w:lineRule="auto"/>
        <w:tabs>
          <w:tab w:leader="none" w:pos="1708"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 If, at the time of the surrender of this Preferred Investment Option in connection with any transfer of this Preferred Investment Option, the transfer of this Preferred Investment Option shall not be either</w:t>
      </w:r>
    </w:p>
    <w:p>
      <w:pPr>
        <w:jc w:val="both"/>
        <w:ind w:left="420" w:hanging="4"/>
        <w:spacing w:after="0" w:line="232" w:lineRule="auto"/>
        <w:tabs>
          <w:tab w:leader="none" w:pos="68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provides to the Company an opinion of counsel in form and substance reasonably satisfactory to the Company to the effect that the transfer of this Warrant does not require registration under the Securities Act.</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by the Holder</w:t>
      </w:r>
      <w:r>
        <w:rPr>
          <w:rFonts w:ascii="Times New Roman" w:cs="Times New Roman" w:eastAsia="Times New Roman" w:hAnsi="Times New Roman"/>
          <w:sz w:val="22"/>
          <w:szCs w:val="22"/>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79" w:lineRule="exact"/>
        <w:rPr>
          <w:sz w:val="20"/>
          <w:szCs w:val="20"/>
          <w:color w:val="auto"/>
        </w:rPr>
      </w:pPr>
    </w:p>
    <w:p>
      <w:pPr>
        <w:ind w:left="420"/>
        <w:spacing w:after="0"/>
        <w:tabs>
          <w:tab w:leader="none" w:pos="1680" w:val="left"/>
        </w:tabs>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81" w:name="page82"/>
    <w:bookmarkEnd w:id="81"/>
    <w:p>
      <w:pPr>
        <w:jc w:val="both"/>
        <w:ind w:left="420" w:firstLine="745"/>
        <w:spacing w:after="0" w:line="235" w:lineRule="auto"/>
        <w:tabs>
          <w:tab w:leader="none" w:pos="170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the rights of a Holder to receive Preferred Investment Option Shares on a “cashless exercise,” and to receive the cash payments contemplated pursuant to Sections 2(d)(i) and 2(d)(iv), in no event will the Company be required to net cash settle a Preferred Investment Option exercise.</w:t>
      </w:r>
    </w:p>
    <w:p>
      <w:pPr>
        <w:spacing w:after="0" w:line="183" w:lineRule="exact"/>
        <w:rPr>
          <w:rFonts w:ascii="Times New Roman" w:cs="Times New Roman" w:eastAsia="Times New Roman" w:hAnsi="Times New Roman"/>
          <w:sz w:val="22"/>
          <w:szCs w:val="22"/>
          <w:color w:val="auto"/>
        </w:rPr>
      </w:pPr>
    </w:p>
    <w:p>
      <w:pPr>
        <w:jc w:val="both"/>
        <w:ind w:left="420" w:firstLine="745"/>
        <w:spacing w:after="0" w:line="234" w:lineRule="auto"/>
        <w:tabs>
          <w:tab w:leader="none" w:pos="170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Preferred Investment Option</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1" w:lineRule="exact"/>
        <w:rPr>
          <w:rFonts w:ascii="Times New Roman" w:cs="Times New Roman" w:eastAsia="Times New Roman" w:hAnsi="Times New Roman"/>
          <w:sz w:val="22"/>
          <w:szCs w:val="22"/>
          <w:color w:val="auto"/>
        </w:rPr>
      </w:pPr>
    </w:p>
    <w:p>
      <w:pPr>
        <w:jc w:val="both"/>
        <w:ind w:left="420" w:firstLine="745"/>
        <w:spacing w:after="0" w:line="242" w:lineRule="auto"/>
        <w:tabs>
          <w:tab w:leader="none" w:pos="170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7" w:lineRule="exact"/>
        <w:rPr>
          <w:rFonts w:ascii="Times New Roman" w:cs="Times New Roman" w:eastAsia="Times New Roman" w:hAnsi="Times New Roman"/>
          <w:sz w:val="22"/>
          <w:szCs w:val="22"/>
          <w:color w:val="auto"/>
        </w:rPr>
      </w:pPr>
    </w:p>
    <w:p>
      <w:pPr>
        <w:ind w:left="1700" w:hanging="535"/>
        <w:spacing w:after="0"/>
        <w:tabs>
          <w:tab w:leader="none" w:pos="17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160" w:firstLine="1498"/>
        <w:spacing w:after="0" w:line="232" w:lineRule="auto"/>
        <w:rPr>
          <w:sz w:val="20"/>
          <w:szCs w:val="20"/>
          <w:color w:val="auto"/>
        </w:rPr>
      </w:pPr>
      <w:r>
        <w:rPr>
          <w:rFonts w:ascii="Times New Roman" w:cs="Times New Roman" w:eastAsia="Times New Roman" w:hAnsi="Times New Roman"/>
          <w:sz w:val="22"/>
          <w:szCs w:val="22"/>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82" w:name="page83"/>
    <w:bookmarkEnd w:id="82"/>
    <w:p>
      <w:pPr>
        <w:jc w:val="both"/>
        <w:ind w:left="1160" w:firstLine="749"/>
        <w:spacing w:after="0" w:line="257" w:lineRule="auto"/>
        <w:rPr>
          <w:sz w:val="20"/>
          <w:szCs w:val="20"/>
          <w:color w:val="auto"/>
        </w:rPr>
      </w:pPr>
      <w:r>
        <w:rPr>
          <w:rFonts w:ascii="Times New Roman" w:cs="Times New Roman" w:eastAsia="Times New Roman" w:hAnsi="Times New Roman"/>
          <w:sz w:val="20"/>
          <w:szCs w:val="20"/>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66" w:lineRule="exact"/>
        <w:rPr>
          <w:sz w:val="20"/>
          <w:szCs w:val="20"/>
          <w:color w:val="auto"/>
        </w:rPr>
      </w:pPr>
    </w:p>
    <w:p>
      <w:pPr>
        <w:jc w:val="both"/>
        <w:ind w:left="1160" w:firstLine="749"/>
        <w:spacing w:after="0" w:line="238"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82" w:lineRule="exact"/>
        <w:rPr>
          <w:sz w:val="20"/>
          <w:szCs w:val="20"/>
          <w:color w:val="auto"/>
        </w:rPr>
      </w:pPr>
    </w:p>
    <w:p>
      <w:pPr>
        <w:ind w:left="420" w:right="20" w:firstLine="745"/>
        <w:spacing w:after="0" w:line="255" w:lineRule="auto"/>
        <w:tabs>
          <w:tab w:leader="none" w:pos="170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Preferred Investment Option shall be determined in accordance with the provisions of the Purchase Agreement.</w:t>
      </w:r>
    </w:p>
    <w:p>
      <w:pPr>
        <w:spacing w:after="0" w:line="162" w:lineRule="exact"/>
        <w:rPr>
          <w:rFonts w:ascii="Times New Roman" w:cs="Times New Roman" w:eastAsia="Times New Roman" w:hAnsi="Times New Roman"/>
          <w:sz w:val="22"/>
          <w:szCs w:val="22"/>
          <w:color w:val="auto"/>
        </w:rPr>
      </w:pPr>
    </w:p>
    <w:p>
      <w:pPr>
        <w:jc w:val="both"/>
        <w:ind w:left="420" w:firstLine="745"/>
        <w:spacing w:after="0" w:line="242" w:lineRule="auto"/>
        <w:tabs>
          <w:tab w:leader="none" w:pos="170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33" w:lineRule="auto"/>
        <w:tabs>
          <w:tab w:leader="none" w:pos="170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or the Company shall operate as a waiver of such right or otherwise prejudice that party’s rights, powers or remedies, notwithstanding the fact that the right to exercise this Preferred Investment Option terminates on the Termination Date. Without limiting any other provision of this Preferred Investment Option or the Purchase Agreement, if either party willfully and knowingly fails to comply with any provision of this Preferred Investment Option, which results in any material damages to the other party, the first party shall pay such amounts as shall be sufficient to cover any costs and expenses including, but not limited to, reasonable attorneys’ fees, including those of appellate proceedings, incurred by the affected party in collecting any amounts due pursuant hereto or in otherwise enforcing any of its rights, powers or remedies hereunder.</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83" w:name="page84"/>
    <w:bookmarkEnd w:id="83"/>
    <w:p>
      <w:pPr>
        <w:ind w:left="420" w:right="20" w:firstLine="745"/>
        <w:spacing w:after="0" w:line="255" w:lineRule="auto"/>
        <w:tabs>
          <w:tab w:leader="none" w:pos="17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document required or permitted to be given or delivered to the Holder by the Company shall be delivered to the address of the Holder in the Preferred Investment Option Register.</w:t>
      </w:r>
    </w:p>
    <w:p>
      <w:pPr>
        <w:spacing w:after="0" w:line="162"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8" w:lineRule="exact"/>
        <w:rPr>
          <w:rFonts w:ascii="Times New Roman" w:cs="Times New Roman" w:eastAsia="Times New Roman" w:hAnsi="Times New Roman"/>
          <w:sz w:val="22"/>
          <w:szCs w:val="22"/>
          <w:color w:val="auto"/>
        </w:rPr>
      </w:pPr>
    </w:p>
    <w:p>
      <w:pPr>
        <w:jc w:val="both"/>
        <w:ind w:left="420" w:firstLine="745"/>
        <w:spacing w:after="0" w:line="242" w:lineRule="auto"/>
        <w:tabs>
          <w:tab w:leader="none" w:pos="17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Other than Section 2(e) above and this Section 5(l), which may not be amended, modified or waived, this Preferred Investment Option may be modified or amended or the provisions hereof waived with the written consent of the Company and the Holder.</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37" w:lineRule="auto"/>
        <w:tabs>
          <w:tab w:leader="none" w:pos="17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8" w:lineRule="exact"/>
        <w:rPr>
          <w:rFonts w:ascii="Times New Roman" w:cs="Times New Roman" w:eastAsia="Times New Roman" w:hAnsi="Times New Roman"/>
          <w:sz w:val="22"/>
          <w:szCs w:val="22"/>
          <w:color w:val="auto"/>
        </w:rPr>
      </w:pPr>
    </w:p>
    <w:p>
      <w:pPr>
        <w:ind w:left="420" w:right="20" w:firstLine="745"/>
        <w:spacing w:after="0" w:line="255" w:lineRule="auto"/>
        <w:tabs>
          <w:tab w:leader="none" w:pos="17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Receipt of this Preferred Investment Option by the Holder shall constitute acceptance of and agreement to all of the terms and conditions contained herein.</w:t>
      </w:r>
    </w:p>
    <w:p>
      <w:pPr>
        <w:spacing w:after="0" w:line="162" w:lineRule="exact"/>
        <w:rPr>
          <w:rFonts w:ascii="Times New Roman" w:cs="Times New Roman" w:eastAsia="Times New Roman" w:hAnsi="Times New Roman"/>
          <w:sz w:val="22"/>
          <w:szCs w:val="22"/>
          <w:color w:val="auto"/>
        </w:rPr>
      </w:pPr>
    </w:p>
    <w:p>
      <w:pPr>
        <w:ind w:left="420" w:firstLine="745"/>
        <w:spacing w:after="0" w:line="255" w:lineRule="auto"/>
        <w:tabs>
          <w:tab w:leader="none" w:pos="17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Preferred Investment Option are for the convenience of reference only and shall not, for any purpose, be deemed a part of this Preferred Investment Option.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84" w:name="page85"/>
    <w:bookmarkEnd w:id="84"/>
    <w:p>
      <w:pPr>
        <w:ind w:left="420" w:firstLine="745"/>
        <w:spacing w:after="0" w:line="255" w:lineRule="auto"/>
        <w:tabs>
          <w:tab w:leader="none" w:pos="170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Signatures</w:t>
      </w:r>
      <w:r>
        <w:rPr>
          <w:rFonts w:ascii="Times New Roman" w:cs="Times New Roman" w:eastAsia="Times New Roman" w:hAnsi="Times New Roman"/>
          <w:sz w:val="22"/>
          <w:szCs w:val="22"/>
          <w:color w:val="auto"/>
        </w:rPr>
        <w:t>. Electronically scanned and transmitted signatures, including by email attachment, shall be deemed originals for all purposes of this Preferred Investment Option.</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w:t>
      </w:r>
    </w:p>
    <w:p>
      <w:pPr>
        <w:spacing w:after="0" w:line="2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476885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660" w:top="1405" w:right="339" w:bottom="1440" w:gutter="0" w:footer="0" w:header="0"/>
        </w:sectPr>
      </w:pPr>
    </w:p>
    <w:bookmarkStart w:id="85" w:name="page86"/>
    <w:bookmarkEnd w:id="85"/>
    <w:p>
      <w:pPr>
        <w:spacing w:after="0" w:line="208"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2"/>
          <w:szCs w:val="22"/>
          <w:color w:val="auto"/>
        </w:rPr>
        <w:t>IN WITNESS WHEREOF, the Company has caused this Preferred Investment Option to be executed by its officer thereunto duly authorized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By:__________________________________________</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 Thomas J. Schaefer</w:t>
      </w:r>
    </w:p>
    <w:p>
      <w:pPr>
        <w:ind w:left="3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ARCADIA BIOSCIENCES, INC.</w:t>
      </w:r>
    </w:p>
    <w:p>
      <w:pPr>
        <w:spacing w:after="0" w:line="232" w:lineRule="exact"/>
        <w:rPr>
          <w:sz w:val="20"/>
          <w:szCs w:val="20"/>
          <w:color w:val="auto"/>
        </w:rPr>
      </w:pPr>
    </w:p>
    <w:p>
      <w:pPr>
        <w:jc w:val="both"/>
        <w:ind w:firstLine="1505"/>
        <w:spacing w:after="0" w:line="242" w:lineRule="auto"/>
        <w:tabs>
          <w:tab w:leader="none" w:pos="203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(check applicable box):</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 ] in lawful money of the United States; or</w:t>
      </w:r>
    </w:p>
    <w:p>
      <w:pPr>
        <w:spacing w:after="0" w:line="205" w:lineRule="exact"/>
        <w:rPr>
          <w:sz w:val="20"/>
          <w:szCs w:val="20"/>
          <w:color w:val="auto"/>
        </w:rPr>
      </w:pPr>
    </w:p>
    <w:p>
      <w:pPr>
        <w:jc w:val="both"/>
        <w:ind w:left="2260" w:hanging="6"/>
        <w:spacing w:after="0" w:line="238" w:lineRule="auto"/>
        <w:tabs>
          <w:tab w:leader="none" w:pos="245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81" w:lineRule="exact"/>
        <w:rPr>
          <w:rFonts w:ascii="Times New Roman" w:cs="Times New Roman" w:eastAsia="Times New Roman" w:hAnsi="Times New Roman"/>
          <w:sz w:val="22"/>
          <w:szCs w:val="22"/>
          <w:color w:val="auto"/>
        </w:rPr>
      </w:pPr>
    </w:p>
    <w:p>
      <w:pPr>
        <w:ind w:firstLine="1505"/>
        <w:spacing w:after="0" w:line="255" w:lineRule="auto"/>
        <w:tabs>
          <w:tab w:leader="none" w:pos="203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Preferred Investment Option Shares in the name of the undersigned or in such other name as is specified below:</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Preferred Investment Option Shares shall be delivered to the following DWAC Account Number:</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2" w:lineRule="exact"/>
        <w:rPr>
          <w:sz w:val="20"/>
          <w:szCs w:val="20"/>
          <w:color w:val="auto"/>
        </w:rPr>
      </w:pPr>
    </w:p>
    <w:p>
      <w:pPr>
        <w:jc w:val="both"/>
        <w:ind w:firstLine="870"/>
        <w:spacing w:after="0" w:line="270" w:lineRule="auto"/>
        <w:tabs>
          <w:tab w:leader="none" w:pos="12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2(e) of the Preferred Investment Option, after giving effect to the number of Preferred Investment Option Shares issuable upon this exercise of the Preferred Investment Option, the undersigned will not beneficially own in excess of 4.99% (or 9.99%, if applicable in accordance with Section 2(e)) of the number of shares of Common Stock of the Company outstanding immediately after giving effect to the issuance of such Preferred Investment Option Shares.</w:t>
      </w:r>
    </w:p>
    <w:p>
      <w:pPr>
        <w:spacing w:after="0" w:line="177" w:lineRule="exact"/>
        <w:rPr>
          <w:rFonts w:ascii="Times New Roman" w:cs="Times New Roman" w:eastAsia="Times New Roman" w:hAnsi="Times New Roman"/>
          <w:sz w:val="20"/>
          <w:szCs w:val="20"/>
          <w:color w:val="auto"/>
        </w:rPr>
      </w:pPr>
    </w:p>
    <w:p>
      <w:pPr>
        <w:ind w:firstLine="870"/>
        <w:spacing w:after="0" w:line="255" w:lineRule="auto"/>
        <w:tabs>
          <w:tab w:leader="none" w:pos="122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The undersigned is an “accredited investor” as defined in Regulation D promulgated under the Securities Act of 1933, as amended.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 ________________________________________________________________________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 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color w:val="auto"/>
        </w:rPr>
        <w:t>Name of Authorized Signatory: ___________________________________________________________________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of Authorized Signatory: ____________________________________________________________________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759" w:right="1440" w:bottom="1440" w:gutter="0" w:footer="0" w:header="0"/>
        </w:sectPr>
      </w:pPr>
    </w:p>
    <w:bookmarkStart w:id="88" w:name="page89"/>
    <w:bookmarkEnd w:id="88"/>
    <w:p>
      <w:pPr>
        <w:ind w:left="44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FORM</w:t>
      </w:r>
    </w:p>
    <w:p>
      <w:pPr>
        <w:spacing w:after="0" w:line="13" w:lineRule="exact"/>
        <w:rPr>
          <w:sz w:val="20"/>
          <w:szCs w:val="20"/>
          <w:color w:val="auto"/>
        </w:rPr>
      </w:pPr>
    </w:p>
    <w:p>
      <w:pPr>
        <w:ind w:firstLine="294"/>
        <w:spacing w:after="0" w:line="236" w:lineRule="auto"/>
        <w:rPr>
          <w:sz w:val="20"/>
          <w:szCs w:val="20"/>
          <w:color w:val="auto"/>
        </w:rPr>
      </w:pPr>
      <w:r>
        <w:rPr>
          <w:rFonts w:ascii="Times New Roman" w:cs="Times New Roman" w:eastAsia="Times New Roman" w:hAnsi="Times New Roman"/>
          <w:sz w:val="22"/>
          <w:szCs w:val="22"/>
          <w:i w:val="1"/>
          <w:iCs w:val="1"/>
          <w:color w:val="auto"/>
        </w:rPr>
        <w:t>(To assign the foregoing Preferred Investment Option, execute this form and supply required information. Do not use this form to exercise the Preferred Investment Option to purchase shares.)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FOR VALUE RECEIVED, the foregoing Preferred Investment Option and all rights evidenced thereby are hereby assigned to</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300" w:type="dxa"/>
            <w:vAlign w:val="bottom"/>
          </w:tcPr>
          <w:p>
            <w:pPr>
              <w:spacing w:after="0"/>
              <w:rPr>
                <w:sz w:val="24"/>
                <w:szCs w:val="24"/>
                <w:color w:val="auto"/>
              </w:rPr>
            </w:pP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434"/>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Address:</w:t>
            </w:r>
          </w:p>
        </w:tc>
        <w:tc>
          <w:tcPr>
            <w:tcW w:w="694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242"/>
        </w:trPr>
        <w:tc>
          <w:tcPr>
            <w:tcW w:w="4300" w:type="dxa"/>
            <w:vAlign w:val="bottom"/>
          </w:tcPr>
          <w:p>
            <w:pPr>
              <w:spacing w:after="0"/>
              <w:rPr>
                <w:sz w:val="21"/>
                <w:szCs w:val="21"/>
                <w:color w:val="auto"/>
              </w:rPr>
            </w:pPr>
          </w:p>
        </w:tc>
        <w:tc>
          <w:tcPr>
            <w:tcW w:w="6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Phone Number:</w:t>
            </w: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Email Address:</w:t>
            </w:r>
          </w:p>
        </w:tc>
        <w:tc>
          <w:tcPr>
            <w:tcW w:w="6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Dated: _______________ __, ______</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Signature:</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Address:</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8"/>
        </w:trPr>
        <w:tc>
          <w:tcPr>
            <w:tcW w:w="43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PURCHASE AGREEMENT</w:t>
      </w:r>
    </w:p>
    <w:p>
      <w:pPr>
        <w:spacing w:after="0" w:line="20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This Securities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June 11, 2026 between Arcadia Biosciences,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purchaser identified on the signature pages hereto (each, including its successors and assigns, a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Purchasers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WHEREAS, subject to the terms and conditions set forth in this Agreement and pursuant to an exemption from registration requirements of Section 4(a)(2) of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In addition to the terms defined elsewhere in this Agreement, for all purposes of this Agreement, the following terms have the meanings set forth in this Section 1.1:</w:t>
      </w:r>
    </w:p>
    <w:p>
      <w:pPr>
        <w:spacing w:after="0" w:line="1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Acquiring Person</w:t>
      </w:r>
      <w:r>
        <w:rPr>
          <w:rFonts w:ascii="Times New Roman" w:cs="Times New Roman" w:eastAsia="Times New Roman" w:hAnsi="Times New Roman"/>
          <w:sz w:val="22"/>
          <w:szCs w:val="22"/>
          <w:color w:val="auto"/>
        </w:rPr>
        <w:t>” shall have the meaning ascribed to such term in Section 4.5.</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shall have the meaning ascribed to such term in Section 3.1(j).</w:t>
      </w:r>
    </w:p>
    <w:p>
      <w:pPr>
        <w:spacing w:after="0" w:line="205" w:lineRule="exact"/>
        <w:rPr>
          <w:sz w:val="20"/>
          <w:szCs w:val="20"/>
          <w:color w:val="auto"/>
        </w:rPr>
      </w:pPr>
    </w:p>
    <w:p>
      <w:pPr>
        <w:jc w:val="both"/>
        <w:ind w:left="76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the board of directors of the Company.</w:t>
      </w:r>
    </w:p>
    <w:p>
      <w:pPr>
        <w:spacing w:after="0" w:line="205" w:lineRule="exact"/>
        <w:rPr>
          <w:sz w:val="20"/>
          <w:szCs w:val="20"/>
          <w:color w:val="auto"/>
        </w:rPr>
      </w:pPr>
    </w:p>
    <w:p>
      <w:pPr>
        <w:jc w:val="both"/>
        <w:ind w:left="760" w:firstLine="749"/>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means the closing of the purchase and sale of the Securities pursuant to Section 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90" w:name="page91"/>
    <w:bookmarkEnd w:id="90"/>
    <w:p>
      <w:pPr>
        <w:jc w:val="both"/>
        <w:ind w:left="3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18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United States Securities and Exchange Commission.</w:t>
      </w:r>
    </w:p>
    <w:p>
      <w:pPr>
        <w:spacing w:after="0" w:line="205"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 par value $0.001 per share, and any other class of securities into which such securities may hereafter be reclassified or changed.</w:t>
      </w:r>
    </w:p>
    <w:p>
      <w:pPr>
        <w:spacing w:after="0" w:line="163" w:lineRule="exact"/>
        <w:rPr>
          <w:sz w:val="20"/>
          <w:szCs w:val="20"/>
          <w:color w:val="auto"/>
        </w:rPr>
      </w:pPr>
    </w:p>
    <w:p>
      <w:pPr>
        <w:jc w:val="both"/>
        <w:ind w:left="3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 Equivalents</w:t>
      </w:r>
      <w:r>
        <w:rPr>
          <w:rFonts w:ascii="Times New Roman" w:cs="Times New Roman" w:eastAsia="Times New Roman" w:hAnsi="Times New Roman"/>
          <w:sz w:val="22"/>
          <w:szCs w:val="22"/>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82"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Counsel</w:t>
      </w:r>
      <w:r>
        <w:rPr>
          <w:rFonts w:ascii="Times New Roman" w:cs="Times New Roman" w:eastAsia="Times New Roman" w:hAnsi="Times New Roman"/>
          <w:sz w:val="22"/>
          <w:szCs w:val="22"/>
          <w:color w:val="auto"/>
        </w:rPr>
        <w:t>” means Weintraub Tobin Chediak Coleman Grodin Law Corporation, with offices located at 400 Capitol Mall, Suite 1100, Sacramento, CA 95814.</w:t>
      </w:r>
    </w:p>
    <w:p>
      <w:pPr>
        <w:spacing w:after="0" w:line="163" w:lineRule="exact"/>
        <w:rPr>
          <w:sz w:val="20"/>
          <w:szCs w:val="20"/>
          <w:color w:val="auto"/>
        </w:rPr>
      </w:pPr>
    </w:p>
    <w:p>
      <w:pPr>
        <w:jc w:val="both"/>
        <w:ind w:left="3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Time</w:t>
      </w:r>
      <w:r>
        <w:rPr>
          <w:rFonts w:ascii="Times New Roman" w:cs="Times New Roman" w:eastAsia="Times New Roman" w:hAnsi="Times New Roman"/>
          <w:sz w:val="22"/>
          <w:szCs w:val="22"/>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4" w:lineRule="exact"/>
        <w:rPr>
          <w:sz w:val="20"/>
          <w:szCs w:val="20"/>
          <w:color w:val="auto"/>
        </w:rPr>
      </w:pPr>
    </w:p>
    <w:p>
      <w:pPr>
        <w:jc w:val="both"/>
        <w:ind w:left="320"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earliest of the date that (a) the initial Registration Statement that has registered all Shares and Warrant Shares for resale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 (assuming that all holders of Securities are not Affiliates and all Warrants will be exercised by “cashless exercise”), (c) following the one year anniversary of the Closing Date, or (d) all of the Shares and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and Warrant Shares pursuant to such exemption which opinion shall be in form and substance reasonably acceptable to such holders.</w:t>
      </w:r>
    </w:p>
    <w:p>
      <w:pPr>
        <w:spacing w:after="0" w:line="184" w:lineRule="exact"/>
        <w:rPr>
          <w:sz w:val="20"/>
          <w:szCs w:val="20"/>
          <w:color w:val="auto"/>
        </w:rPr>
      </w:pPr>
    </w:p>
    <w:p>
      <w:pPr>
        <w:jc w:val="both"/>
        <w:ind w:left="320" w:right="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EGS</w:t>
      </w:r>
      <w:r>
        <w:rPr>
          <w:rFonts w:ascii="Times New Roman" w:cs="Times New Roman" w:eastAsia="Times New Roman" w:hAnsi="Times New Roman"/>
          <w:sz w:val="22"/>
          <w:szCs w:val="22"/>
          <w:color w:val="auto"/>
        </w:rPr>
        <w:t>” means Ellenoff Grossman &amp; Schole LLP, with offices located at 1345 Avenue of the Americas, New York, New York 10105-0302.</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91" w:name="page92"/>
    <w:bookmarkEnd w:id="91"/>
    <w:p>
      <w:pPr>
        <w:jc w:val="both"/>
        <w:ind w:left="320" w:right="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means Continental Stock Transfer &amp; Trust Company, with offices at 1 State Street, 30th Floor, New York, NY 10004.</w:t>
      </w:r>
    </w:p>
    <w:p>
      <w:pPr>
        <w:spacing w:after="0" w:line="163" w:lineRule="exact"/>
        <w:rPr>
          <w:sz w:val="20"/>
          <w:szCs w:val="20"/>
          <w:color w:val="auto"/>
        </w:rPr>
      </w:pPr>
    </w:p>
    <w:p>
      <w:pPr>
        <w:jc w:val="both"/>
        <w:ind w:left="32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means the escrow agreement entered into prior to the date hereof, by and among the Company, the Escrow Agent and the Placement Agent pursuant to which the Purchasers shall deposit Subscription Amounts with the Escrow Agent to be applied to the transactions contemplated hereunder.</w:t>
      </w:r>
    </w:p>
    <w:p>
      <w:pPr>
        <w:spacing w:after="0" w:line="17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Evaluation Date</w:t>
      </w:r>
      <w:r>
        <w:rPr>
          <w:rFonts w:ascii="Times New Roman" w:cs="Times New Roman" w:eastAsia="Times New Roman" w:hAnsi="Times New Roman"/>
          <w:sz w:val="22"/>
          <w:szCs w:val="22"/>
          <w:color w:val="auto"/>
        </w:rPr>
        <w:t>” shall have the meaning ascribed to such term in Section 3.1(s).</w:t>
      </w:r>
    </w:p>
    <w:p>
      <w:pPr>
        <w:spacing w:after="0" w:line="205"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90"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Exempt Issuance</w:t>
      </w:r>
      <w:r>
        <w:rPr>
          <w:rFonts w:ascii="Times New Roman" w:cs="Times New Roman" w:eastAsia="Times New Roman" w:hAnsi="Times New Roman"/>
          <w:sz w:val="20"/>
          <w:szCs w:val="20"/>
          <w:color w:val="auto"/>
        </w:rPr>
        <w:t>” means the issuance of (a) shares of Common Stock or options to consultants,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provided, however, any such issuances to consultants shall not exceed, in the aggregate, $50,000 of Common Stock or Common Stock Equivalents in any calendar quarter,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preferred investment options issued to the Placement Agent in connection with the transactions consummated pursuant to this Agreement and any securities upon exercise of preferred investment options to the Placement Agent, and (d)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200" w:lineRule="exact"/>
        <w:rPr>
          <w:sz w:val="20"/>
          <w:szCs w:val="20"/>
          <w:color w:val="auto"/>
        </w:rPr>
      </w:pP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means the Foreign Corrupt Practices Act of 1977, as amended.</w:t>
      </w: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shall have the meaning ascribed to such term in Section 3.1(ii).</w:t>
      </w: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FDCA</w:t>
      </w:r>
      <w:r>
        <w:rPr>
          <w:rFonts w:ascii="Times New Roman" w:cs="Times New Roman" w:eastAsia="Times New Roman" w:hAnsi="Times New Roman"/>
          <w:sz w:val="22"/>
          <w:szCs w:val="22"/>
          <w:color w:val="auto"/>
        </w:rPr>
        <w:t>” shall have the meaning ascribed to such term in Section 3.1(ii).</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92" w:name="page93"/>
    <w:bookmarkEnd w:id="92"/>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have the meaning ascribed to such term in Section 3.1(h).</w:t>
      </w: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shall have the meaning ascribed to such term in Section 3.1(bb).</w:t>
      </w:r>
    </w:p>
    <w:p>
      <w:pPr>
        <w:spacing w:after="0" w:line="2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shall have the meaning ascribed to such term in Section 3.1(p).</w:t>
      </w: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Legend Removal Date</w:t>
      </w:r>
      <w:r>
        <w:rPr>
          <w:rFonts w:ascii="Times New Roman" w:cs="Times New Roman" w:eastAsia="Times New Roman" w:hAnsi="Times New Roman"/>
          <w:sz w:val="22"/>
          <w:szCs w:val="22"/>
          <w:color w:val="auto"/>
        </w:rPr>
        <w:t>” shall have the meaning ascribed to such term in Section 4.1(c).</w:t>
      </w:r>
    </w:p>
    <w:p>
      <w:pPr>
        <w:spacing w:after="0" w:line="205"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 lien, charge pledge, security interest, encumbrance, right of first refusal, preemptive right or other restriction.</w:t>
      </w:r>
    </w:p>
    <w:p>
      <w:pPr>
        <w:spacing w:after="0" w:line="16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have the meaning assigned to such term in Section 3.1(b).</w:t>
      </w: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Permits</w:t>
      </w:r>
      <w:r>
        <w:rPr>
          <w:rFonts w:ascii="Times New Roman" w:cs="Times New Roman" w:eastAsia="Times New Roman" w:hAnsi="Times New Roman"/>
          <w:sz w:val="22"/>
          <w:szCs w:val="22"/>
          <w:color w:val="auto"/>
        </w:rPr>
        <w:t>” shall have the meaning ascribed to such term in Section 3.1(n).</w:t>
      </w:r>
    </w:p>
    <w:p>
      <w:pPr>
        <w:spacing w:after="0" w:line="205" w:lineRule="exact"/>
        <w:rPr>
          <w:sz w:val="20"/>
          <w:szCs w:val="20"/>
          <w:color w:val="auto"/>
        </w:rPr>
      </w:pPr>
    </w:p>
    <w:p>
      <w:pPr>
        <w:jc w:val="both"/>
        <w:ind w:left="32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Purchase Price</w:t>
      </w:r>
      <w:r>
        <w:rPr>
          <w:rFonts w:ascii="Times New Roman" w:cs="Times New Roman" w:eastAsia="Times New Roman" w:hAnsi="Times New Roman"/>
          <w:sz w:val="22"/>
          <w:szCs w:val="22"/>
          <w:color w:val="auto"/>
        </w:rPr>
        <w:t>” equals $1.03, subject to adjustment for reverse and forward stock splits, stock dividends, stock combinations and other similar transactions of the Common Stock that occur after the date of this Agreement but prior to the Closing Date.</w:t>
      </w:r>
    </w:p>
    <w:p>
      <w:pPr>
        <w:spacing w:after="0" w:line="178" w:lineRule="exact"/>
        <w:rPr>
          <w:sz w:val="20"/>
          <w:szCs w:val="20"/>
          <w:color w:val="auto"/>
        </w:rPr>
      </w:pPr>
    </w:p>
    <w:p>
      <w:pPr>
        <w:jc w:val="both"/>
        <w:ind w:left="32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Pharmaceutical Product</w:t>
      </w:r>
      <w:r>
        <w:rPr>
          <w:rFonts w:ascii="Times New Roman" w:cs="Times New Roman" w:eastAsia="Times New Roman" w:hAnsi="Times New Roman"/>
          <w:sz w:val="22"/>
          <w:szCs w:val="22"/>
          <w:color w:val="auto"/>
        </w:rPr>
        <w:t>” shall have the meaning ascribed to such term in Section 3.1(ii).</w:t>
      </w: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Placement Agent</w:t>
      </w:r>
      <w:r>
        <w:rPr>
          <w:rFonts w:ascii="Times New Roman" w:cs="Times New Roman" w:eastAsia="Times New Roman" w:hAnsi="Times New Roman"/>
          <w:sz w:val="22"/>
          <w:szCs w:val="22"/>
          <w:color w:val="auto"/>
        </w:rPr>
        <w:t>” means H.C. Wainwright &amp; Co., LLC.</w:t>
      </w:r>
    </w:p>
    <w:p>
      <w:pPr>
        <w:spacing w:after="0" w:line="205"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Investment Options</w:t>
      </w:r>
      <w:r>
        <w:rPr>
          <w:rFonts w:ascii="Times New Roman" w:cs="Times New Roman" w:eastAsia="Times New Roman" w:hAnsi="Times New Roman"/>
          <w:sz w:val="22"/>
          <w:szCs w:val="22"/>
          <w:color w:val="auto"/>
        </w:rPr>
        <w:t>” means, collectively, the Series A-1 Preferred Investment Options and the Series A-2 Preferred Investment Options.</w:t>
      </w:r>
    </w:p>
    <w:p>
      <w:pPr>
        <w:spacing w:after="0" w:line="163"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Investment Option Shares</w:t>
      </w:r>
      <w:r>
        <w:rPr>
          <w:rFonts w:ascii="Times New Roman" w:cs="Times New Roman" w:eastAsia="Times New Roman" w:hAnsi="Times New Roman"/>
          <w:sz w:val="22"/>
          <w:szCs w:val="22"/>
          <w:color w:val="auto"/>
        </w:rPr>
        <w:t>” means the shares of Common Stock issuable upon exercise of the Preferred Investment Options.</w:t>
      </w:r>
    </w:p>
    <w:p>
      <w:pPr>
        <w:spacing w:after="0" w:line="163" w:lineRule="exact"/>
        <w:rPr>
          <w:sz w:val="20"/>
          <w:szCs w:val="20"/>
          <w:color w:val="auto"/>
        </w:rPr>
      </w:pPr>
    </w:p>
    <w:p>
      <w:pPr>
        <w:jc w:val="both"/>
        <w:ind w:left="32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Pre-Funded Warrants</w:t>
      </w:r>
      <w:r>
        <w:rPr>
          <w:rFonts w:ascii="Times New Roman" w:cs="Times New Roman" w:eastAsia="Times New Roman" w:hAnsi="Times New Roman"/>
          <w:sz w:val="22"/>
          <w:szCs w:val="22"/>
          <w:color w:val="auto"/>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attached hereto.</w:t>
      </w:r>
    </w:p>
    <w:p>
      <w:pPr>
        <w:spacing w:after="0" w:line="178"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Pre-Funded Warrant Shares</w:t>
      </w:r>
      <w:r>
        <w:rPr>
          <w:rFonts w:ascii="Times New Roman" w:cs="Times New Roman" w:eastAsia="Times New Roman" w:hAnsi="Times New Roman"/>
          <w:sz w:val="22"/>
          <w:szCs w:val="22"/>
          <w:color w:val="auto"/>
        </w:rPr>
        <w:t>” means the shares of Common Stock issuable upon exercise of the Pre-Funded Warrants.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93" w:name="page94"/>
    <w:bookmarkEnd w:id="93"/>
    <w:p>
      <w:pPr>
        <w:jc w:val="both"/>
        <w:ind w:left="320" w:right="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 action, claim, suit, investigation or proceeding (including, without limitation, an informal investigation or partial proceeding, such as a deposition), whether commenced or threatened in writing.</w:t>
      </w:r>
    </w:p>
    <w:p>
      <w:pPr>
        <w:spacing w:after="0" w:line="16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Information Failure</w:t>
      </w:r>
      <w:r>
        <w:rPr>
          <w:rFonts w:ascii="Times New Roman" w:cs="Times New Roman" w:eastAsia="Times New Roman" w:hAnsi="Times New Roman"/>
          <w:sz w:val="22"/>
          <w:szCs w:val="22"/>
          <w:color w:val="auto"/>
        </w:rPr>
        <w:t>” shall have the meaning ascribed to such term in Section 4.2(b).</w:t>
      </w: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Information Failure Payments</w:t>
      </w:r>
      <w:r>
        <w:rPr>
          <w:rFonts w:ascii="Times New Roman" w:cs="Times New Roman" w:eastAsia="Times New Roman" w:hAnsi="Times New Roman"/>
          <w:sz w:val="22"/>
          <w:szCs w:val="22"/>
          <w:color w:val="auto"/>
        </w:rPr>
        <w:t>” shall have the meaning ascribed to such term in Section 4.2(b).</w:t>
      </w:r>
    </w:p>
    <w:p>
      <w:pPr>
        <w:spacing w:after="0" w:line="2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Party</w:t>
      </w:r>
      <w:r>
        <w:rPr>
          <w:rFonts w:ascii="Times New Roman" w:cs="Times New Roman" w:eastAsia="Times New Roman" w:hAnsi="Times New Roman"/>
          <w:sz w:val="22"/>
          <w:szCs w:val="22"/>
          <w:color w:val="auto"/>
        </w:rPr>
        <w:t>” shall have the meaning ascribed to such term in Section 4.8.</w:t>
      </w:r>
    </w:p>
    <w:p>
      <w:pPr>
        <w:spacing w:after="0" w:line="205"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163" w:lineRule="exact"/>
        <w:rPr>
          <w:sz w:val="20"/>
          <w:szCs w:val="20"/>
          <w:color w:val="auto"/>
        </w:rPr>
      </w:pPr>
    </w:p>
    <w:p>
      <w:pPr>
        <w:jc w:val="both"/>
        <w:ind w:left="32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 registration statement meeting the requirements set forth in the Registration Rights Agreement and covering the resale by the Purchasers of the Shares and the Warrant Shares as provided in the Registration Rights Agreement.</w:t>
      </w:r>
    </w:p>
    <w:p>
      <w:pPr>
        <w:spacing w:after="0" w:line="17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Approvals</w:t>
      </w:r>
      <w:r>
        <w:rPr>
          <w:rFonts w:ascii="Times New Roman" w:cs="Times New Roman" w:eastAsia="Times New Roman" w:hAnsi="Times New Roman"/>
          <w:sz w:val="22"/>
          <w:szCs w:val="22"/>
          <w:color w:val="auto"/>
        </w:rPr>
        <w:t>” shall have the meaning ascribed to such term in Section 3.1(e).</w:t>
      </w:r>
    </w:p>
    <w:p>
      <w:pPr>
        <w:spacing w:after="0" w:line="205" w:lineRule="exact"/>
        <w:rPr>
          <w:sz w:val="20"/>
          <w:szCs w:val="20"/>
          <w:color w:val="auto"/>
        </w:rPr>
      </w:pPr>
    </w:p>
    <w:p>
      <w:pPr>
        <w:jc w:val="both"/>
        <w:ind w:left="32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8" w:lineRule="exact"/>
        <w:rPr>
          <w:sz w:val="20"/>
          <w:szCs w:val="20"/>
          <w:color w:val="auto"/>
        </w:rPr>
      </w:pPr>
    </w:p>
    <w:p>
      <w:pPr>
        <w:jc w:val="both"/>
        <w:ind w:left="32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424</w:t>
      </w:r>
      <w:r>
        <w:rPr>
          <w:rFonts w:ascii="Times New Roman" w:cs="Times New Roman" w:eastAsia="Times New Roman" w:hAnsi="Times New Roman"/>
          <w:sz w:val="22"/>
          <w:szCs w:val="22"/>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Reports</w:t>
      </w:r>
      <w:r>
        <w:rPr>
          <w:rFonts w:ascii="Times New Roman" w:cs="Times New Roman" w:eastAsia="Times New Roman" w:hAnsi="Times New Roman"/>
          <w:sz w:val="22"/>
          <w:szCs w:val="22"/>
          <w:color w:val="auto"/>
        </w:rPr>
        <w:t>” shall have the meaning ascribed to such term in Section 3.1(h).</w:t>
      </w:r>
    </w:p>
    <w:p>
      <w:pPr>
        <w:spacing w:after="0" w:line="2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means the Shares, the Warrants and the Warrant Shares.</w:t>
      </w:r>
    </w:p>
    <w:p>
      <w:pPr>
        <w:spacing w:after="0" w:line="205"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63" w:lineRule="exact"/>
        <w:rPr>
          <w:sz w:val="20"/>
          <w:szCs w:val="20"/>
          <w:color w:val="auto"/>
        </w:rPr>
      </w:pPr>
    </w:p>
    <w:p>
      <w:pPr>
        <w:jc w:val="both"/>
        <w:ind w:left="3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A-1 Preferred Investment Options</w:t>
      </w:r>
      <w:r>
        <w:rPr>
          <w:rFonts w:ascii="Times New Roman" w:cs="Times New Roman" w:eastAsia="Times New Roman" w:hAnsi="Times New Roman"/>
          <w:sz w:val="22"/>
          <w:szCs w:val="22"/>
          <w:color w:val="auto"/>
        </w:rPr>
        <w:t xml:space="preserve">” means, collectively, the Series A-1 Preferred Investment Options delivered to the Purchasers at the Closing in accordance with Section 2.2(a) hereof, which Series A Preferred Investment Options shall be exercisable on and after the Stockholder Approval Date and have a term of exercise equal to five (5) years after the initial exercise date, in the 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attached hereto.</w:t>
      </w:r>
    </w:p>
    <w:p>
      <w:pPr>
        <w:spacing w:after="0" w:line="182"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A-2 Preferred Investment Options</w:t>
      </w:r>
      <w:r>
        <w:rPr>
          <w:rFonts w:ascii="Times New Roman" w:cs="Times New Roman" w:eastAsia="Times New Roman" w:hAnsi="Times New Roman"/>
          <w:sz w:val="22"/>
          <w:szCs w:val="22"/>
          <w:color w:val="auto"/>
        </w:rPr>
        <w:t>” means, collectively, the Series A-2 Preferred Investment Options delivered to the Purchasers at the Closing in accordance with</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94" w:name="page95"/>
    <w:bookmarkEnd w:id="94"/>
    <w:p>
      <w:pPr>
        <w:jc w:val="both"/>
        <w:ind w:left="320"/>
        <w:spacing w:after="0" w:line="242" w:lineRule="auto"/>
        <w:rPr>
          <w:sz w:val="20"/>
          <w:szCs w:val="20"/>
          <w:color w:val="auto"/>
        </w:rPr>
      </w:pPr>
      <w:r>
        <w:rPr>
          <w:rFonts w:ascii="Times New Roman" w:cs="Times New Roman" w:eastAsia="Times New Roman" w:hAnsi="Times New Roman"/>
          <w:sz w:val="22"/>
          <w:szCs w:val="22"/>
          <w:color w:val="auto"/>
        </w:rPr>
        <w:t xml:space="preserve">Section 2.2(a) hereof, which Series A Preferred Investment Options shall be exercisable immediately upon issuance and have a term of exercise equal to twenty-four (24) months after the Effective Date, in the 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attached hereto.</w:t>
      </w:r>
    </w:p>
    <w:p>
      <w:pPr>
        <w:spacing w:after="0" w:line="178"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the shares of Common Stock issued or issuable to each Purchaser pursuant to this Agreement, but excluding the Warrant Shares.</w:t>
      </w:r>
    </w:p>
    <w:p>
      <w:pPr>
        <w:spacing w:after="0" w:line="163"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means all “short sales” as defined in Rule 200 of Regulation SHO under the Exchange Act (but shall not be deemed to include locating and/or borrowing shares of Common Stock).</w:t>
      </w:r>
    </w:p>
    <w:p>
      <w:pPr>
        <w:spacing w:after="0" w:line="163" w:lineRule="exact"/>
        <w:rPr>
          <w:sz w:val="20"/>
          <w:szCs w:val="20"/>
          <w:color w:val="auto"/>
        </w:rPr>
      </w:pPr>
    </w:p>
    <w:p>
      <w:pPr>
        <w:jc w:val="both"/>
        <w:ind w:left="32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means such approval as may be required by the applicable rules and regulations of the Nasdaq Stock Market LLC (or any successor entity) from the stockholders of the Company with respect to the issuance of all the Series A-1 Preferred Investment Options and the Preferred Investment Option Shares upon the exercise of the Series A-1 Preferred Investment Options.</w:t>
      </w:r>
    </w:p>
    <w:p>
      <w:pPr>
        <w:spacing w:after="0" w:line="182"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 Approval Date</w:t>
      </w:r>
      <w:r>
        <w:rPr>
          <w:rFonts w:ascii="Times New Roman" w:cs="Times New Roman" w:eastAsia="Times New Roman" w:hAnsi="Times New Roman"/>
          <w:sz w:val="22"/>
          <w:szCs w:val="22"/>
          <w:color w:val="auto"/>
        </w:rPr>
        <w:t>” means the date on which Stockholder Approval is received and deemed effective under Delaware law.</w:t>
      </w:r>
    </w:p>
    <w:p>
      <w:pPr>
        <w:spacing w:after="0" w:line="163" w:lineRule="exact"/>
        <w:rPr>
          <w:sz w:val="20"/>
          <w:szCs w:val="20"/>
          <w:color w:val="auto"/>
        </w:rPr>
      </w:pPr>
    </w:p>
    <w:p>
      <w:pPr>
        <w:jc w:val="both"/>
        <w:ind w:left="3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Subscription Amount</w:t>
      </w:r>
      <w:r>
        <w:rPr>
          <w:rFonts w:ascii="Times New Roman" w:cs="Times New Roman" w:eastAsia="Times New Roman" w:hAnsi="Times New Roman"/>
          <w:sz w:val="22"/>
          <w:szCs w:val="22"/>
          <w:color w:val="auto"/>
        </w:rPr>
        <w:t>” means, as to each Purchaser, the aggregate amount to be paid for Shares (and/or the Pre-Funded Warrants) and Preferred Investment Options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79" w:lineRule="exact"/>
        <w:rPr>
          <w:sz w:val="20"/>
          <w:szCs w:val="20"/>
          <w:color w:val="auto"/>
        </w:rPr>
      </w:pPr>
    </w:p>
    <w:p>
      <w:pPr>
        <w:jc w:val="both"/>
        <w:ind w:left="320" w:right="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subsidiary of the Company as set forth in the SEC Reports and shall, where applicable, also include any direct or indirect subsidiary of the Company formed or acquired after the date hereof.</w:t>
      </w:r>
    </w:p>
    <w:p>
      <w:pPr>
        <w:spacing w:after="0" w:line="16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principal Trading Market is open for trading.</w:t>
      </w:r>
    </w:p>
    <w:p>
      <w:pPr>
        <w:spacing w:after="0" w:line="205" w:lineRule="exact"/>
        <w:rPr>
          <w:sz w:val="20"/>
          <w:szCs w:val="20"/>
          <w:color w:val="auto"/>
        </w:rPr>
      </w:pPr>
    </w:p>
    <w:p>
      <w:pPr>
        <w:jc w:val="both"/>
        <w:ind w:left="320" w:right="20" w:firstLine="749"/>
        <w:spacing w:after="0" w:line="27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Market</w:t>
      </w:r>
      <w:r>
        <w:rPr>
          <w:rFonts w:ascii="Times New Roman" w:cs="Times New Roman" w:eastAsia="Times New Roman" w:hAnsi="Times New Roman"/>
          <w:sz w:val="20"/>
          <w:szCs w:val="20"/>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41" w:lineRule="exact"/>
        <w:rPr>
          <w:sz w:val="20"/>
          <w:szCs w:val="20"/>
          <w:color w:val="auto"/>
        </w:rPr>
      </w:pPr>
    </w:p>
    <w:p>
      <w:pPr>
        <w:jc w:val="both"/>
        <w:ind w:left="320" w:right="2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Warrants, the Registration Rights Agreement, the Escrow Agreement, all exhibits and schedules thereto and hereto and any other documents or agreements executed in connection with the transactions contemplated hereunder.</w:t>
      </w:r>
    </w:p>
    <w:p>
      <w:pPr>
        <w:spacing w:after="0" w:line="178" w:lineRule="exact"/>
        <w:rPr>
          <w:sz w:val="20"/>
          <w:szCs w:val="20"/>
          <w:color w:val="auto"/>
        </w:rPr>
      </w:pPr>
    </w:p>
    <w:p>
      <w:pPr>
        <w:jc w:val="both"/>
        <w:ind w:left="320" w:firstLine="749"/>
        <w:spacing w:after="0" w:line="30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 Agent</w:t>
      </w:r>
      <w:r>
        <w:rPr>
          <w:rFonts w:ascii="Times New Roman" w:cs="Times New Roman" w:eastAsia="Times New Roman" w:hAnsi="Times New Roman"/>
          <w:sz w:val="20"/>
          <w:szCs w:val="20"/>
          <w:color w:val="auto"/>
        </w:rPr>
        <w:t>” means Equiniti Trust Company, LLC, the current transfer agent of the Company, with a mailing address of 28 Liberty Street, Floor 53, New York, NY 10005, and any successor transfer agent of the Company.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95" w:name="page96"/>
    <w:bookmarkEnd w:id="95"/>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Variable Rate Transaction</w:t>
      </w:r>
      <w:r>
        <w:rPr>
          <w:rFonts w:ascii="Times New Roman" w:cs="Times New Roman" w:eastAsia="Times New Roman" w:hAnsi="Times New Roman"/>
          <w:sz w:val="22"/>
          <w:szCs w:val="22"/>
          <w:color w:val="auto"/>
        </w:rPr>
        <w:t>” shall have the meaning ascribed to such term in Section 4.11(b).</w:t>
      </w:r>
    </w:p>
    <w:p>
      <w:pPr>
        <w:spacing w:after="0" w:line="205" w:lineRule="exact"/>
        <w:rPr>
          <w:sz w:val="20"/>
          <w:szCs w:val="20"/>
          <w:color w:val="auto"/>
        </w:rPr>
      </w:pPr>
    </w:p>
    <w:p>
      <w:pPr>
        <w:jc w:val="both"/>
        <w:ind w:left="760"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means, collectively, the Preferred Investment Options and the Pre-Funded Warrants.</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means the shares of Common Stock issuable upon exercise of the Warrants.</w:t>
      </w: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On the Closing Date, upon the terms and subject to the conditions set forth herein, the Company agrees to sell, and the Purchasers, severally and not jointly, agree to purchase, up to an aggregate of approximately $______ of Shares and</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Preferred Investment Options.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“Beneficial Ownership Limitation”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 shall deliver to the Escrow Agent, via wire transfer, immediately available funds equal to such Purchaser’s Subscription Amount as set forth on the signature page hereto executed by such Purchaser.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w:t>
      </w:r>
    </w:p>
    <w:p>
      <w:pPr>
        <w:spacing w:after="0" w:line="200" w:lineRule="exact"/>
        <w:rPr>
          <w:sz w:val="20"/>
          <w:szCs w:val="20"/>
          <w:color w:val="auto"/>
        </w:rPr>
      </w:pPr>
    </w:p>
    <w:p>
      <w:pPr>
        <w:spacing w:after="0" w:line="3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96" w:name="page97"/>
    <w:bookmarkEnd w:id="96"/>
    <w:p>
      <w:pPr>
        <w:ind w:firstLine="509"/>
        <w:spacing w:after="0" w:line="255" w:lineRule="auto"/>
        <w:rPr>
          <w:sz w:val="20"/>
          <w:szCs w:val="20"/>
          <w:color w:val="auto"/>
        </w:rPr>
      </w:pPr>
      <w:r>
        <w:rPr>
          <w:rFonts w:ascii="Times New Roman" w:cs="Times New Roman" w:eastAsia="Times New Roman" w:hAnsi="Times New Roman"/>
          <w:sz w:val="22"/>
          <w:szCs w:val="22"/>
          <w:color w:val="auto"/>
        </w:rPr>
        <w:t>the Closing shall occur at the offices of Company Counsel or such other location (including remotely by electronic transmission) as the parties shall mutually agree.</w:t>
      </w:r>
    </w:p>
    <w:p>
      <w:pPr>
        <w:spacing w:after="0" w:line="16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0"/>
          <w:szCs w:val="20"/>
          <w:u w:val="single" w:color="auto"/>
          <w:color w:val="auto"/>
        </w:rPr>
        <w:t>Deliveries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2040" w:hanging="535"/>
        <w:spacing w:after="0"/>
        <w:tabs>
          <w:tab w:leader="none" w:pos="20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Closing Date, the Company shall deliver or cause to be delivered to each Purchaser the</w:t>
      </w:r>
    </w:p>
    <w:p>
      <w:pPr>
        <w:spacing w:after="0" w:line="36"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following:</w:t>
      </w:r>
    </w:p>
    <w:p>
      <w:pPr>
        <w:spacing w:after="0" w:line="180"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the Company;</w:t>
      </w:r>
    </w:p>
    <w:p>
      <w:pPr>
        <w:spacing w:after="0" w:line="204" w:lineRule="exact"/>
        <w:rPr>
          <w:rFonts w:ascii="Times New Roman" w:cs="Times New Roman" w:eastAsia="Times New Roman" w:hAnsi="Times New Roman"/>
          <w:sz w:val="22"/>
          <w:szCs w:val="22"/>
          <w:color w:val="auto"/>
        </w:rPr>
      </w:pPr>
    </w:p>
    <w:p>
      <w:pPr>
        <w:ind w:left="1500" w:firstLine="754"/>
        <w:spacing w:after="0" w:line="255" w:lineRule="auto"/>
        <w:tabs>
          <w:tab w:leader="none" w:pos="254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legal opinion of Company Counsel, directed to the Placement Agent and the Purchasers, in a form reasonably acceptable to the Placement Agent and Purchasers;</w:t>
      </w:r>
    </w:p>
    <w:p>
      <w:pPr>
        <w:spacing w:after="0" w:line="163" w:lineRule="exact"/>
        <w:rPr>
          <w:sz w:val="20"/>
          <w:szCs w:val="20"/>
          <w:color w:val="auto"/>
        </w:rPr>
      </w:pPr>
    </w:p>
    <w:p>
      <w:pPr>
        <w:jc w:val="both"/>
        <w:ind w:left="1500" w:right="20" w:firstLine="749"/>
        <w:spacing w:after="0" w:line="255" w:lineRule="auto"/>
        <w:rPr>
          <w:sz w:val="20"/>
          <w:szCs w:val="20"/>
          <w:color w:val="auto"/>
        </w:rPr>
      </w:pPr>
      <w:r>
        <w:rPr>
          <w:rFonts w:ascii="Times New Roman" w:cs="Times New Roman" w:eastAsia="Times New Roman" w:hAnsi="Times New Roman"/>
          <w:sz w:val="22"/>
          <w:szCs w:val="22"/>
          <w:color w:val="auto"/>
        </w:rPr>
        <w:t>(iii)the Company shall have provided each Purchaser with the Company’s wire instructions, on Company letterhead and executed by the Chief Executive Officer or Chief Financial Officer;</w:t>
      </w:r>
    </w:p>
    <w:p>
      <w:pPr>
        <w:spacing w:after="0" w:line="163" w:lineRule="exact"/>
        <w:rPr>
          <w:sz w:val="20"/>
          <w:szCs w:val="20"/>
          <w:color w:val="auto"/>
        </w:rPr>
      </w:pPr>
    </w:p>
    <w:p>
      <w:pPr>
        <w:jc w:val="both"/>
        <w:ind w:left="1500" w:firstLine="749"/>
        <w:spacing w:after="0" w:line="235" w:lineRule="auto"/>
        <w:rPr>
          <w:sz w:val="20"/>
          <w:szCs w:val="20"/>
          <w:color w:val="auto"/>
        </w:rPr>
      </w:pPr>
      <w:r>
        <w:rPr>
          <w:rFonts w:ascii="Times New Roman" w:cs="Times New Roman" w:eastAsia="Times New Roman" w:hAnsi="Times New Roman"/>
          <w:sz w:val="22"/>
          <w:szCs w:val="22"/>
          <w:color w:val="auto"/>
        </w:rPr>
        <w:t>(iv)a copy of the irrevocable instructions to the Transfer Agent instructing the Transfer Agent to deliver on an expedited basis a certificate evidencing a number of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spacing w:after="0" w:line="184" w:lineRule="exact"/>
        <w:rPr>
          <w:sz w:val="20"/>
          <w:szCs w:val="20"/>
          <w:color w:val="auto"/>
        </w:rPr>
      </w:pPr>
    </w:p>
    <w:p>
      <w:pPr>
        <w:jc w:val="both"/>
        <w:ind w:left="1500" w:firstLine="754"/>
        <w:spacing w:after="0" w:line="237" w:lineRule="auto"/>
        <w:tabs>
          <w:tab w:leader="none" w:pos="254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a Pre-Funded Warrant registered in the name of such Purchaser to purchase up to a number of shares of Common Stock equal to the difference between (A) such Purchaser’s Subscription Amount divided by the Per Share Purchase Price and (B) the number of Shares otherwise issuable to such Purchaser that would cause such Purchaser’s Beneficial Ownership to be more than the Beneficial Ownership Limitation with an exercise price equal to $0.0001 per share of Common Stock, subject to adjustment therein;</w:t>
      </w:r>
    </w:p>
    <w:p>
      <w:pPr>
        <w:spacing w:after="0" w:line="179" w:lineRule="exact"/>
        <w:rPr>
          <w:sz w:val="20"/>
          <w:szCs w:val="20"/>
          <w:color w:val="auto"/>
        </w:rPr>
      </w:pPr>
    </w:p>
    <w:p>
      <w:pPr>
        <w:jc w:val="both"/>
        <w:ind w:left="1500" w:firstLine="749"/>
        <w:spacing w:after="0" w:line="279" w:lineRule="auto"/>
        <w:rPr>
          <w:sz w:val="20"/>
          <w:szCs w:val="20"/>
          <w:color w:val="auto"/>
        </w:rPr>
      </w:pPr>
      <w:r>
        <w:rPr>
          <w:rFonts w:ascii="Times New Roman" w:cs="Times New Roman" w:eastAsia="Times New Roman" w:hAnsi="Times New Roman"/>
          <w:sz w:val="20"/>
          <w:szCs w:val="20"/>
          <w:color w:val="auto"/>
        </w:rPr>
        <w:t>(vi)a Series A-1 Preferred Investment Option registered in the name of such Purchaser to purchase up to a number of shares of Common Stock equal to 100% of the sum of such Purchaser’s Shares and Pre-Funded Warrant Shares, with an exercise price equal to $0.91 per share of Common Stock, subject to adjustment therein;</w:t>
      </w:r>
    </w:p>
    <w:p>
      <w:pPr>
        <w:spacing w:after="0" w:line="141" w:lineRule="exact"/>
        <w:rPr>
          <w:sz w:val="20"/>
          <w:szCs w:val="20"/>
          <w:color w:val="auto"/>
        </w:rPr>
      </w:pPr>
    </w:p>
    <w:p>
      <w:pPr>
        <w:jc w:val="both"/>
        <w:ind w:left="1500" w:firstLine="749"/>
        <w:spacing w:after="0" w:line="238" w:lineRule="auto"/>
        <w:rPr>
          <w:sz w:val="20"/>
          <w:szCs w:val="20"/>
          <w:color w:val="auto"/>
        </w:rPr>
      </w:pPr>
      <w:r>
        <w:rPr>
          <w:rFonts w:ascii="Times New Roman" w:cs="Times New Roman" w:eastAsia="Times New Roman" w:hAnsi="Times New Roman"/>
          <w:sz w:val="22"/>
          <w:szCs w:val="22"/>
          <w:color w:val="auto"/>
        </w:rPr>
        <w:t>(vii)a Series A-2 Preferred Investment Option registered in the name of such Purchaser to purchase up to a number of shares of Common Stock equal to 100% of the sum of such Purchaser’s Shares and Pre-Funded Warrant Shares, with an exercise price equal to $0.91 per share of Common Stock, subject to adjustment therein; and</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(viii)the Registration Rights Agreement duly executed by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97" w:name="page98"/>
    <w:bookmarkEnd w:id="97"/>
    <w:p>
      <w:pPr>
        <w:ind w:left="760" w:firstLine="745"/>
        <w:spacing w:after="0" w:line="255" w:lineRule="auto"/>
        <w:tabs>
          <w:tab w:leader="none" w:pos="204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each Purchaser shall deliver or cause to be delivered to the Company or the Escrow Agent, as applicable, the following:</w:t>
      </w:r>
    </w:p>
    <w:p>
      <w:pPr>
        <w:spacing w:after="0" w:line="162"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such Purchaser;</w:t>
      </w:r>
    </w:p>
    <w:p>
      <w:pPr>
        <w:spacing w:after="0" w:line="204" w:lineRule="exact"/>
        <w:rPr>
          <w:rFonts w:ascii="Times New Roman" w:cs="Times New Roman" w:eastAsia="Times New Roman" w:hAnsi="Times New Roman"/>
          <w:sz w:val="22"/>
          <w:szCs w:val="22"/>
          <w:color w:val="auto"/>
        </w:rPr>
      </w:pPr>
    </w:p>
    <w:p>
      <w:pPr>
        <w:ind w:left="1500" w:firstLine="754"/>
        <w:spacing w:after="0" w:line="255" w:lineRule="auto"/>
        <w:tabs>
          <w:tab w:leader="none" w:pos="2548"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Escrow Agent, such Purchaser’s Subscription Amount by wire transfer to the account specified in writing by the Company; and</w:t>
      </w:r>
    </w:p>
    <w:p>
      <w:pPr>
        <w:spacing w:after="0" w:line="1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(iii)the Registration Rights Agreement duly executed by such Purchaser.</w:t>
      </w:r>
    </w:p>
    <w:p>
      <w:pPr>
        <w:spacing w:after="0" w:line="20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0"/>
          <w:szCs w:val="20"/>
          <w:u w:val="single" w:color="auto"/>
          <w:color w:val="auto"/>
        </w:rPr>
        <w:t>Closing Conditions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-14605</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5" w:lineRule="exact"/>
        <w:rPr>
          <w:sz w:val="20"/>
          <w:szCs w:val="20"/>
          <w:color w:val="auto"/>
        </w:rPr>
      </w:pPr>
    </w:p>
    <w:p>
      <w:pPr>
        <w:ind w:left="760" w:right="40" w:firstLine="745"/>
        <w:spacing w:after="0" w:line="255" w:lineRule="auto"/>
        <w:tabs>
          <w:tab w:leader="none" w:pos="19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hereunder in connection with the Closing are subject to the following conditions being met:</w:t>
      </w:r>
    </w:p>
    <w:p>
      <w:pPr>
        <w:spacing w:after="0" w:line="162"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54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(or, to the extent representations and warranties are qualified by materiality or Material Adverse Effect, in all respects) on the Closing Date of the representations and warranties of the Purchasers contained herein (unless as of a specific date therein in which case they shall be accurate in all material respects as of such date);</w:t>
      </w:r>
    </w:p>
    <w:p>
      <w:pPr>
        <w:spacing w:after="0" w:line="181" w:lineRule="exact"/>
        <w:rPr>
          <w:rFonts w:ascii="Times New Roman" w:cs="Times New Roman" w:eastAsia="Times New Roman" w:hAnsi="Times New Roman"/>
          <w:sz w:val="22"/>
          <w:szCs w:val="22"/>
          <w:color w:val="auto"/>
        </w:rPr>
      </w:pPr>
    </w:p>
    <w:p>
      <w:pPr>
        <w:ind w:left="1500" w:firstLine="754"/>
        <w:spacing w:after="0" w:line="255" w:lineRule="auto"/>
        <w:tabs>
          <w:tab w:leader="none" w:pos="254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each Purchaser required to be performed at or prior to the Closing Date shall have been performed; and</w:t>
      </w:r>
    </w:p>
    <w:p>
      <w:pPr>
        <w:spacing w:after="0" w:line="1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(iii)the delivery by each Purchaser of the items set forth in Section 2.2(b) of this Agreement.</w:t>
      </w:r>
    </w:p>
    <w:p>
      <w:pPr>
        <w:spacing w:after="0" w:line="205" w:lineRule="exact"/>
        <w:rPr>
          <w:sz w:val="20"/>
          <w:szCs w:val="20"/>
          <w:color w:val="auto"/>
        </w:rPr>
      </w:pPr>
    </w:p>
    <w:p>
      <w:pPr>
        <w:ind w:left="760" w:firstLine="745"/>
        <w:spacing w:after="0" w:line="255" w:lineRule="auto"/>
        <w:tabs>
          <w:tab w:leader="none" w:pos="204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respective obligations of the Purchasers hereunder in connection with the Closing are subject to the following conditions being met:</w:t>
      </w:r>
    </w:p>
    <w:p>
      <w:pPr>
        <w:spacing w:after="0" w:line="162"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548"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(or, to the extent representations and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as of such date);</w:t>
      </w:r>
    </w:p>
    <w:p>
      <w:pPr>
        <w:spacing w:after="0" w:line="181" w:lineRule="exact"/>
        <w:rPr>
          <w:rFonts w:ascii="Times New Roman" w:cs="Times New Roman" w:eastAsia="Times New Roman" w:hAnsi="Times New Roman"/>
          <w:sz w:val="22"/>
          <w:szCs w:val="22"/>
          <w:color w:val="auto"/>
        </w:rPr>
      </w:pPr>
    </w:p>
    <w:p>
      <w:pPr>
        <w:ind w:left="1500" w:right="20" w:firstLine="754"/>
        <w:spacing w:after="0" w:line="255" w:lineRule="auto"/>
        <w:tabs>
          <w:tab w:leader="none" w:pos="2548"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the Company required to be performed at or prior to the Closing Date shall have been performed;</w:t>
      </w:r>
    </w:p>
    <w:p>
      <w:pPr>
        <w:spacing w:after="0" w:line="1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(iii)the delivery by the Company of the items set forth in Section 2.2(a) of this Agreement;</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(iv)there shall have been no Material Adverse Effect with respect to the Company since the date hereof;</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98" w:name="page99"/>
    <w:bookmarkEnd w:id="98"/>
    <w:p>
      <w:pPr>
        <w:jc w:val="both"/>
        <w:ind w:left="1500" w:firstLine="754"/>
        <w:spacing w:after="0" w:line="233" w:lineRule="auto"/>
        <w:tabs>
          <w:tab w:leader="none" w:pos="25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hereby makes the following representations and warranties to each Purchaser:</w:t>
      </w:r>
    </w:p>
    <w:p>
      <w:pPr>
        <w:spacing w:after="0" w:line="163" w:lineRule="exact"/>
        <w:rPr>
          <w:sz w:val="20"/>
          <w:szCs w:val="20"/>
          <w:color w:val="auto"/>
        </w:rPr>
      </w:pPr>
    </w:p>
    <w:p>
      <w:pPr>
        <w:jc w:val="both"/>
        <w:ind w:left="760" w:firstLine="745"/>
        <w:spacing w:after="0" w:line="235" w:lineRule="auto"/>
        <w:tabs>
          <w:tab w:leader="none" w:pos="204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All of the direct and indirect subsidiaries of the Company that constitute significant subsidiaries within the meaning of Item 601(b)(21)(ii) of Regulation S-K are set forth in the SEC Reports. Except as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set forth in the SEC Reports, all other references to the Subsidiaries or any of them in the Transaction Documents shall be disregarded.</w:t>
      </w:r>
    </w:p>
    <w:p>
      <w:pPr>
        <w:spacing w:after="0" w:line="179" w:lineRule="exact"/>
        <w:rPr>
          <w:sz w:val="20"/>
          <w:szCs w:val="20"/>
          <w:color w:val="auto"/>
        </w:rPr>
      </w:pPr>
    </w:p>
    <w:p>
      <w:pPr>
        <w:jc w:val="both"/>
        <w:ind w:left="760" w:firstLine="745"/>
        <w:spacing w:after="0" w:line="255" w:lineRule="auto"/>
        <w:tabs>
          <w:tab w:leader="none" w:pos="204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and Qualification</w:t>
      </w:r>
      <w:r>
        <w:rPr>
          <w:rFonts w:ascii="Times New Roman" w:cs="Times New Roman" w:eastAsia="Times New Roman" w:hAnsi="Times New Roman"/>
          <w:sz w:val="20"/>
          <w:szCs w:val="20"/>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w:t>
      </w:r>
    </w:p>
    <w:p>
      <w:pPr>
        <w:ind w:left="760" w:hanging="4"/>
        <w:spacing w:after="0" w:line="236" w:lineRule="auto"/>
        <w:tabs>
          <w:tab w:leader="none" w:pos="10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(iii), a “</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provided, however, that changes in the trading price of the Common Stock shall not, in and of itself, constitute a Material Adverse Effect), and no</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99" w:name="page100"/>
    <w:bookmarkEnd w:id="99"/>
    <w:p>
      <w:pPr>
        <w:ind w:left="320"/>
        <w:spacing w:after="0" w:line="255" w:lineRule="auto"/>
        <w:rPr>
          <w:sz w:val="20"/>
          <w:szCs w:val="20"/>
          <w:color w:val="auto"/>
        </w:rPr>
      </w:pPr>
      <w:r>
        <w:rPr>
          <w:rFonts w:ascii="Times New Roman" w:cs="Times New Roman" w:eastAsia="Times New Roman" w:hAnsi="Times New Roman"/>
          <w:sz w:val="22"/>
          <w:szCs w:val="22"/>
          <w:color w:val="auto"/>
        </w:rPr>
        <w:t>Proceeding has been instituted in any such jurisdiction revoking, limiting or curtailing or seeking to revoke, limit or curtail such power and authority or qualification.</w:t>
      </w:r>
    </w:p>
    <w:p>
      <w:pPr>
        <w:spacing w:after="0" w:line="163" w:lineRule="exact"/>
        <w:rPr>
          <w:sz w:val="20"/>
          <w:szCs w:val="20"/>
          <w:color w:val="auto"/>
        </w:rPr>
      </w:pPr>
    </w:p>
    <w:p>
      <w:pPr>
        <w:jc w:val="both"/>
        <w:ind w:left="320" w:firstLine="745"/>
        <w:spacing w:after="0" w:line="232" w:lineRule="auto"/>
        <w:tabs>
          <w:tab w:leader="none" w:pos="160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Enforcement</w:t>
      </w:r>
      <w:r>
        <w:rPr>
          <w:rFonts w:ascii="Times New Roman" w:cs="Times New Roman" w:eastAsia="Times New Roman" w:hAnsi="Times New Roman"/>
          <w:sz w:val="22"/>
          <w:szCs w:val="22"/>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5" w:lineRule="exact"/>
        <w:rPr>
          <w:rFonts w:ascii="Times New Roman" w:cs="Times New Roman" w:eastAsia="Times New Roman" w:hAnsi="Times New Roman"/>
          <w:sz w:val="22"/>
          <w:szCs w:val="22"/>
          <w:color w:val="auto"/>
        </w:rPr>
      </w:pPr>
    </w:p>
    <w:p>
      <w:pPr>
        <w:jc w:val="both"/>
        <w:ind w:left="320" w:firstLine="745"/>
        <w:spacing w:after="0" w:line="232" w:lineRule="auto"/>
        <w:tabs>
          <w:tab w:leader="none" w:pos="160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material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receipt of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3"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60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Filings, Consents and Approvals</w:t>
      </w:r>
      <w:r>
        <w:rPr>
          <w:rFonts w:ascii="Times New Roman" w:cs="Times New Roman" w:eastAsia="Times New Roman" w:hAnsi="Times New Roman"/>
          <w:sz w:val="22"/>
          <w:szCs w:val="22"/>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0" w:name="page101"/>
    <w:bookmarkEnd w:id="100"/>
    <w:p>
      <w:pPr>
        <w:jc w:val="both"/>
        <w:ind w:left="320"/>
        <w:spacing w:after="0" w:line="237" w:lineRule="auto"/>
        <w:rPr>
          <w:sz w:val="20"/>
          <w:szCs w:val="20"/>
          <w:color w:val="auto"/>
        </w:rPr>
      </w:pPr>
      <w:r>
        <w:rPr>
          <w:rFonts w:ascii="Times New Roman" w:cs="Times New Roman" w:eastAsia="Times New Roman" w:hAnsi="Times New Roman"/>
          <w:sz w:val="22"/>
          <w:szCs w:val="22"/>
          <w:color w:val="auto"/>
        </w:rPr>
        <w:t>of the Transaction Documents, other than: (i) the filings required pursuant to Section 4.4 of this Agreement, (ii) the filing with the Commission pursuant to the Registration Rights Agreement, (iii) the notice and/or application(s) to each applicable Trading Market for the issuance and sale of the Securities and the listing of the Shares and Warrant Shares for trading thereon, (iv) the filing of Form D with the Commission, (v) such other filings as are required to be made under applicable state securities laws and (vi) Stockholder Approval (collectively, the “</w:t>
      </w:r>
      <w:r>
        <w:rPr>
          <w:rFonts w:ascii="Times New Roman" w:cs="Times New Roman" w:eastAsia="Times New Roman" w:hAnsi="Times New Roman"/>
          <w:sz w:val="22"/>
          <w:szCs w:val="22"/>
          <w:u w:val="single" w:color="auto"/>
          <w:color w:val="auto"/>
        </w:rPr>
        <w:t>Required Approvals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320" w:firstLine="745"/>
        <w:spacing w:after="0" w:line="261" w:lineRule="auto"/>
        <w:tabs>
          <w:tab w:leader="none" w:pos="160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the Securities</w:t>
      </w:r>
      <w:r>
        <w:rPr>
          <w:rFonts w:ascii="Times New Roman" w:cs="Times New Roman" w:eastAsia="Times New Roman" w:hAnsi="Times New Roman"/>
          <w:sz w:val="20"/>
          <w:szCs w:val="20"/>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are duly authorized and, when issued in accordance with the terms of the Warrants,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p>
    <w:p>
      <w:pPr>
        <w:spacing w:after="0" w:line="161" w:lineRule="exact"/>
        <w:rPr>
          <w:rFonts w:ascii="Times New Roman" w:cs="Times New Roman" w:eastAsia="Times New Roman" w:hAnsi="Times New Roman"/>
          <w:sz w:val="20"/>
          <w:szCs w:val="20"/>
          <w:color w:val="auto"/>
        </w:rPr>
      </w:pPr>
    </w:p>
    <w:p>
      <w:pPr>
        <w:jc w:val="both"/>
        <w:ind w:left="320" w:firstLine="745"/>
        <w:spacing w:after="0" w:line="255" w:lineRule="auto"/>
        <w:tabs>
          <w:tab w:leader="none" w:pos="160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Capitalization</w:t>
      </w:r>
      <w:r>
        <w:rPr>
          <w:rFonts w:ascii="Times New Roman" w:cs="Times New Roman" w:eastAsia="Times New Roman" w:hAnsi="Times New Roman"/>
          <w:sz w:val="20"/>
          <w:szCs w:val="20"/>
          <w:color w:val="auto"/>
        </w:rPr>
        <w:t>. The capitalization of the Company as of the dates thereof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or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1" w:name="page102"/>
    <w:bookmarkEnd w:id="101"/>
    <w:p>
      <w:pPr>
        <w:jc w:val="both"/>
        <w:ind w:left="320"/>
        <w:spacing w:after="0" w:line="235" w:lineRule="auto"/>
        <w:rPr>
          <w:sz w:val="20"/>
          <w:szCs w:val="20"/>
          <w:color w:val="auto"/>
        </w:rPr>
      </w:pPr>
      <w:r>
        <w:rPr>
          <w:rFonts w:ascii="Times New Roman" w:cs="Times New Roman" w:eastAsia="Times New Roman" w:hAnsi="Times New Roman"/>
          <w:sz w:val="22"/>
          <w:szCs w:val="22"/>
          <w:color w:val="auto"/>
        </w:rPr>
        <w:t>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Except as set forth in the SEC Reports,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79" w:lineRule="exact"/>
        <w:rPr>
          <w:sz w:val="20"/>
          <w:szCs w:val="20"/>
          <w:color w:val="auto"/>
        </w:rPr>
      </w:pPr>
    </w:p>
    <w:p>
      <w:pPr>
        <w:jc w:val="both"/>
        <w:ind w:left="320" w:firstLine="745"/>
        <w:spacing w:after="0" w:line="231" w:lineRule="auto"/>
        <w:tabs>
          <w:tab w:leader="none" w:pos="1608"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Reports; Financial Statements</w:t>
      </w:r>
      <w:r>
        <w:rPr>
          <w:rFonts w:ascii="Times New Roman" w:cs="Times New Roman" w:eastAsia="Times New Roman" w:hAnsi="Times New Roman"/>
          <w:sz w:val="22"/>
          <w:szCs w:val="22"/>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22"/>
          <w:szCs w:val="22"/>
          <w:u w:val="single" w:color="auto"/>
          <w:color w:val="auto"/>
        </w:rPr>
        <w:t>SEC Reports</w:t>
      </w:r>
      <w:r>
        <w:rPr>
          <w:rFonts w:ascii="Times New Roman" w:cs="Times New Roman" w:eastAsia="Times New Roman" w:hAnsi="Times New Roman"/>
          <w:sz w:val="22"/>
          <w:szCs w:val="22"/>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rFonts w:ascii="Times New Roman" w:cs="Times New Roman" w:eastAsia="Times New Roman" w:hAnsi="Times New Roman"/>
          <w:sz w:val="22"/>
          <w:szCs w:val="22"/>
          <w:color w:val="auto"/>
        </w:rPr>
      </w:pPr>
    </w:p>
    <w:p>
      <w:pPr>
        <w:jc w:val="both"/>
        <w:ind w:left="320" w:firstLine="745"/>
        <w:spacing w:after="0" w:line="257" w:lineRule="auto"/>
        <w:tabs>
          <w:tab w:leader="none" w:pos="1608"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Changes; Undisclosed Events, Liabilities or Developments</w:t>
      </w:r>
      <w:r>
        <w:rPr>
          <w:rFonts w:ascii="Times New Roman" w:cs="Times New Roman" w:eastAsia="Times New Roman" w:hAnsi="Times New Roman"/>
          <w:sz w:val="20"/>
          <w:szCs w:val="20"/>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jc w:val="both"/>
        <w:ind w:left="320" w:hanging="4"/>
        <w:spacing w:after="0" w:line="234" w:lineRule="auto"/>
        <w:tabs>
          <w:tab w:leader="none" w:pos="70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altered its method of accounting, (iv) the Company has not declared or made any dividend or distribution of cash or other property to its stockholders or purchased, redeemed or made any agreements to purchase or redeem any shares of its capital stock</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2" w:name="page103"/>
    <w:bookmarkEnd w:id="102"/>
    <w:p>
      <w:pPr>
        <w:jc w:val="both"/>
        <w:ind w:left="320"/>
        <w:spacing w:after="0" w:line="234" w:lineRule="auto"/>
        <w:rPr>
          <w:sz w:val="20"/>
          <w:szCs w:val="20"/>
          <w:color w:val="auto"/>
        </w:rPr>
      </w:pPr>
      <w:r>
        <w:rPr>
          <w:rFonts w:ascii="Times New Roman" w:cs="Times New Roman" w:eastAsia="Times New Roman" w:hAnsi="Times New Roman"/>
          <w:sz w:val="22"/>
          <w:szCs w:val="22"/>
          <w:color w:val="auto"/>
        </w:rPr>
        <w:t>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2" w:lineRule="exact"/>
        <w:rPr>
          <w:sz w:val="20"/>
          <w:szCs w:val="20"/>
          <w:color w:val="auto"/>
        </w:rPr>
      </w:pPr>
    </w:p>
    <w:p>
      <w:pPr>
        <w:jc w:val="both"/>
        <w:ind w:left="320" w:firstLine="745"/>
        <w:spacing w:after="0" w:line="232" w:lineRule="auto"/>
        <w:tabs>
          <w:tab w:leader="none" w:pos="160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(in his or her capacity as such),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(in his or her capacity as such). The Commission has not issued any stop order or other order suspending the effectiveness of any registration statement filed by the Company or any Subsidiary under the Exchange Act or the Securities Act.</w:t>
      </w:r>
    </w:p>
    <w:p>
      <w:pPr>
        <w:spacing w:after="0" w:line="187" w:lineRule="exact"/>
        <w:rPr>
          <w:rFonts w:ascii="Times New Roman" w:cs="Times New Roman" w:eastAsia="Times New Roman" w:hAnsi="Times New Roman"/>
          <w:sz w:val="22"/>
          <w:szCs w:val="22"/>
          <w:color w:val="auto"/>
        </w:rPr>
      </w:pPr>
    </w:p>
    <w:p>
      <w:pPr>
        <w:jc w:val="both"/>
        <w:ind w:left="320" w:firstLine="745"/>
        <w:spacing w:after="0" w:line="257" w:lineRule="auto"/>
        <w:tabs>
          <w:tab w:leader="none" w:pos="160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Labor Relations</w:t>
      </w:r>
      <w:r>
        <w:rPr>
          <w:rFonts w:ascii="Times New Roman" w:cs="Times New Roman" w:eastAsia="Times New Roman" w:hAnsi="Times New Roman"/>
          <w:sz w:val="20"/>
          <w:szCs w:val="20"/>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3" w:name="page104"/>
    <w:bookmarkEnd w:id="103"/>
    <w:p>
      <w:pPr>
        <w:jc w:val="both"/>
        <w:ind w:left="320" w:right="100" w:firstLine="745"/>
        <w:spacing w:after="0" w:line="233" w:lineRule="auto"/>
        <w:tabs>
          <w:tab w:leader="none" w:pos="160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material indenture, loan or credit agreement or any other material agreement or instrument to which it is a party or by which it or any of its material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3" w:lineRule="exact"/>
        <w:rPr>
          <w:rFonts w:ascii="Times New Roman" w:cs="Times New Roman" w:eastAsia="Times New Roman" w:hAnsi="Times New Roman"/>
          <w:sz w:val="22"/>
          <w:szCs w:val="22"/>
          <w:color w:val="auto"/>
        </w:rPr>
      </w:pPr>
    </w:p>
    <w:p>
      <w:pPr>
        <w:ind w:left="320" w:firstLine="745"/>
        <w:spacing w:after="0" w:line="232" w:lineRule="auto"/>
        <w:tabs>
          <w:tab w:leader="none" w:pos="177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The Company and its Subsidiaries (i) are in compliance with all federal, sta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0" w:lineRule="exact"/>
        <w:rPr>
          <w:rFonts w:ascii="Times New Roman" w:cs="Times New Roman" w:eastAsia="Times New Roman" w:hAnsi="Times New Roman"/>
          <w:sz w:val="22"/>
          <w:szCs w:val="22"/>
          <w:color w:val="auto"/>
        </w:rPr>
      </w:pPr>
    </w:p>
    <w:p>
      <w:pPr>
        <w:jc w:val="both"/>
        <w:ind w:left="320" w:right="100" w:firstLine="745"/>
        <w:spacing w:after="0" w:line="237" w:lineRule="auto"/>
        <w:tabs>
          <w:tab w:leader="none" w:pos="160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Permits</w:t>
      </w:r>
      <w:r>
        <w:rPr>
          <w:rFonts w:ascii="Times New Roman" w:cs="Times New Roman" w:eastAsia="Times New Roman" w:hAnsi="Times New Roman"/>
          <w:sz w:val="22"/>
          <w:szCs w:val="22"/>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22"/>
          <w:szCs w:val="22"/>
          <w:u w:val="single" w:color="auto"/>
          <w:color w:val="auto"/>
        </w:rPr>
        <w:t>Material Permits</w:t>
      </w:r>
      <w:r>
        <w:rPr>
          <w:rFonts w:ascii="Times New Roman" w:cs="Times New Roman" w:eastAsia="Times New Roman" w:hAnsi="Times New Roman"/>
          <w:sz w:val="22"/>
          <w:szCs w:val="22"/>
          <w:color w:val="auto"/>
        </w:rPr>
        <w:t>”), and neither the Company nor any Subsidiary has received any notice of proceedings relating to the revocation or modification of any Material Permit.</w:t>
      </w:r>
    </w:p>
    <w:p>
      <w:pPr>
        <w:spacing w:after="0" w:line="178" w:lineRule="exact"/>
        <w:rPr>
          <w:rFonts w:ascii="Times New Roman" w:cs="Times New Roman" w:eastAsia="Times New Roman" w:hAnsi="Times New Roman"/>
          <w:sz w:val="22"/>
          <w:szCs w:val="22"/>
          <w:color w:val="auto"/>
        </w:rPr>
      </w:pPr>
    </w:p>
    <w:p>
      <w:pPr>
        <w:jc w:val="both"/>
        <w:ind w:left="320" w:right="100" w:firstLine="745"/>
        <w:spacing w:after="0" w:line="258" w:lineRule="auto"/>
        <w:tabs>
          <w:tab w:leader="none" w:pos="1608"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to Assets</w:t>
      </w:r>
      <w:r>
        <w:rPr>
          <w:rFonts w:ascii="Times New Roman" w:cs="Times New Roman" w:eastAsia="Times New Roman" w:hAnsi="Times New Roman"/>
          <w:sz w:val="20"/>
          <w:szCs w:val="20"/>
          <w:color w:val="auto"/>
        </w:rPr>
        <w:t>. The Company and the Subsidiaries have good and marketable title in fee simple to all real property owned by them that is material to the business of the Company and the Subsidiaries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w:t>
      </w:r>
    </w:p>
    <w:p>
      <w:pPr>
        <w:ind w:left="640" w:hanging="324"/>
        <w:spacing w:after="0"/>
        <w:tabs>
          <w:tab w:leader="none" w:pos="6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set forth in the SEC Reports, and (iii) Liens for the payment of federal, state or other</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760" w:top="1405" w:right="239" w:bottom="1440" w:gutter="0" w:footer="0" w:header="0"/>
        </w:sectPr>
      </w:pPr>
    </w:p>
    <w:bookmarkStart w:id="104" w:name="page105"/>
    <w:bookmarkEnd w:id="104"/>
    <w:p>
      <w:pPr>
        <w:jc w:val="both"/>
        <w:ind w:left="320"/>
        <w:spacing w:after="0" w:line="238" w:lineRule="auto"/>
        <w:rPr>
          <w:sz w:val="20"/>
          <w:szCs w:val="20"/>
          <w:color w:val="auto"/>
        </w:rPr>
      </w:pPr>
      <w:r>
        <w:rPr>
          <w:rFonts w:ascii="Times New Roman" w:cs="Times New Roman" w:eastAsia="Times New Roman" w:hAnsi="Times New Roman"/>
          <w:sz w:val="22"/>
          <w:szCs w:val="22"/>
          <w:color w:val="auto"/>
        </w:rPr>
        <w:t>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2" w:lineRule="exact"/>
        <w:rPr>
          <w:sz w:val="20"/>
          <w:szCs w:val="20"/>
          <w:color w:val="auto"/>
        </w:rPr>
      </w:pPr>
    </w:p>
    <w:p>
      <w:pPr>
        <w:jc w:val="both"/>
        <w:ind w:left="320" w:firstLine="745"/>
        <w:spacing w:after="0" w:line="256" w:lineRule="auto"/>
        <w:tabs>
          <w:tab w:leader="none" w:pos="160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Except as set forth in the SEC Reports,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is reasonably likely to result in a Material Adverse Effect (collectively, the “</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Except as set forth in the SEC Reports, neither the Company nor any Subsidiary has received a written notice that any of, the Intellectual Property Rights that are material to the Company have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reasonably be expected to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0" w:lineRule="exact"/>
        <w:rPr>
          <w:rFonts w:ascii="Times New Roman" w:cs="Times New Roman" w:eastAsia="Times New Roman" w:hAnsi="Times New Roman"/>
          <w:sz w:val="20"/>
          <w:szCs w:val="20"/>
          <w:color w:val="auto"/>
        </w:rPr>
      </w:pPr>
    </w:p>
    <w:p>
      <w:pPr>
        <w:spacing w:after="0" w:line="217" w:lineRule="exact"/>
        <w:rPr>
          <w:rFonts w:ascii="Times New Roman" w:cs="Times New Roman" w:eastAsia="Times New Roman" w:hAnsi="Times New Roman"/>
          <w:sz w:val="20"/>
          <w:szCs w:val="20"/>
          <w:color w:val="auto"/>
        </w:rPr>
      </w:pPr>
    </w:p>
    <w:p>
      <w:pPr>
        <w:jc w:val="both"/>
        <w:ind w:left="320" w:firstLine="745"/>
        <w:spacing w:after="0" w:line="263" w:lineRule="auto"/>
        <w:tabs>
          <w:tab w:leader="none" w:pos="160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57" w:lineRule="exact"/>
        <w:rPr>
          <w:rFonts w:ascii="Times New Roman" w:cs="Times New Roman" w:eastAsia="Times New Roman" w:hAnsi="Times New Roman"/>
          <w:sz w:val="20"/>
          <w:szCs w:val="20"/>
          <w:color w:val="auto"/>
        </w:rPr>
      </w:pPr>
    </w:p>
    <w:p>
      <w:pPr>
        <w:jc w:val="both"/>
        <w:ind w:left="320" w:firstLine="745"/>
        <w:spacing w:after="0" w:line="234" w:lineRule="auto"/>
        <w:tabs>
          <w:tab w:leader="none" w:pos="160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with Affiliates and Employees</w:t>
      </w:r>
      <w:r>
        <w:rPr>
          <w:rFonts w:ascii="Times New Roman" w:cs="Times New Roman" w:eastAsia="Times New Roman" w:hAnsi="Times New Roman"/>
          <w:sz w:val="22"/>
          <w:szCs w:val="22"/>
          <w:color w:val="auto"/>
        </w:rPr>
        <w:t>. Except as set forth in the SEC Reports, none of the officers or directors of the Company or any material Subsidiary and, to the knowledge of the Company, none of the employees of the Company or any material Subsidiary is presently a party to any transaction with the Company or any material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5" w:name="page106"/>
    <w:bookmarkEnd w:id="105"/>
    <w:p>
      <w:pPr>
        <w:jc w:val="both"/>
        <w:ind w:left="320"/>
        <w:spacing w:after="0" w:line="242" w:lineRule="auto"/>
        <w:rPr>
          <w:sz w:val="20"/>
          <w:szCs w:val="20"/>
          <w:color w:val="auto"/>
        </w:rPr>
      </w:pPr>
      <w:r>
        <w:rPr>
          <w:rFonts w:ascii="Times New Roman" w:cs="Times New Roman" w:eastAsia="Times New Roman" w:hAnsi="Times New Roman"/>
          <w:sz w:val="22"/>
          <w:szCs w:val="22"/>
          <w:color w:val="auto"/>
        </w:rPr>
        <w:t>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78" w:lineRule="exact"/>
        <w:rPr>
          <w:sz w:val="20"/>
          <w:szCs w:val="20"/>
          <w:color w:val="auto"/>
        </w:rPr>
      </w:pPr>
    </w:p>
    <w:p>
      <w:pPr>
        <w:jc w:val="both"/>
        <w:ind w:left="320" w:firstLine="745"/>
        <w:spacing w:after="0" w:line="231" w:lineRule="auto"/>
        <w:tabs>
          <w:tab w:leader="none" w:pos="160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Internal Accounting Controls</w:t>
      </w:r>
      <w:r>
        <w:rPr>
          <w:rFonts w:ascii="Times New Roman" w:cs="Times New Roman" w:eastAsia="Times New Roman" w:hAnsi="Times New Roman"/>
          <w:sz w:val="22"/>
          <w:szCs w:val="22"/>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22"/>
          <w:szCs w:val="22"/>
          <w:u w:val="single" w:color="auto"/>
          <w:color w:val="auto"/>
        </w:rPr>
        <w:t>Evaluation Date</w:t>
      </w:r>
      <w:r>
        <w:rPr>
          <w:rFonts w:ascii="Times New Roman" w:cs="Times New Roman" w:eastAsia="Times New Roman" w:hAnsi="Times New Roman"/>
          <w:sz w:val="22"/>
          <w:szCs w:val="22"/>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Except for fees and reimbursements payable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 due to an arrangement or agreement made by the Company.</w:t>
      </w:r>
    </w:p>
    <w:p>
      <w:pPr>
        <w:spacing w:after="0" w:line="178" w:lineRule="exact"/>
        <w:rPr>
          <w:rFonts w:ascii="Times New Roman" w:cs="Times New Roman" w:eastAsia="Times New Roman" w:hAnsi="Times New Roman"/>
          <w:sz w:val="22"/>
          <w:szCs w:val="22"/>
          <w:color w:val="auto"/>
        </w:rPr>
      </w:pPr>
    </w:p>
    <w:p>
      <w:pPr>
        <w:jc w:val="both"/>
        <w:ind w:left="320" w:firstLine="745"/>
        <w:spacing w:after="0" w:line="242" w:lineRule="auto"/>
        <w:tabs>
          <w:tab w:leader="none" w:pos="160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Placement</w:t>
      </w:r>
      <w:r>
        <w:rPr>
          <w:rFonts w:ascii="Times New Roman" w:cs="Times New Roman" w:eastAsia="Times New Roman" w:hAnsi="Times New Roman"/>
          <w:sz w:val="22"/>
          <w:szCs w:val="22"/>
          <w:color w:val="auto"/>
        </w:rPr>
        <w:t>. Assuming the accuracy of the Purchasers’ representations and warranties set forth in Section 3.2, no registration under the Securities Act is required for the offer and sale of the Securities by the Company to the Purchasers as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6" w:name="page107"/>
    <w:bookmarkEnd w:id="106"/>
    <w:p>
      <w:pPr>
        <w:ind w:left="320"/>
        <w:spacing w:after="0" w:line="255" w:lineRule="auto"/>
        <w:rPr>
          <w:sz w:val="20"/>
          <w:szCs w:val="20"/>
          <w:color w:val="auto"/>
        </w:rPr>
      </w:pPr>
      <w:r>
        <w:rPr>
          <w:rFonts w:ascii="Times New Roman" w:cs="Times New Roman" w:eastAsia="Times New Roman" w:hAnsi="Times New Roman"/>
          <w:sz w:val="22"/>
          <w:szCs w:val="22"/>
          <w:color w:val="auto"/>
        </w:rPr>
        <w:t>contemplated hereby. The issuance and sale of the Securities hereunder does not contravene the rules and regulations of the Trading Market.</w:t>
      </w:r>
    </w:p>
    <w:p>
      <w:pPr>
        <w:spacing w:after="0" w:line="163" w:lineRule="exact"/>
        <w:rPr>
          <w:sz w:val="20"/>
          <w:szCs w:val="20"/>
          <w:color w:val="auto"/>
        </w:rPr>
      </w:pPr>
    </w:p>
    <w:p>
      <w:pPr>
        <w:jc w:val="both"/>
        <w:ind w:left="320" w:firstLine="745"/>
        <w:spacing w:after="0" w:line="238" w:lineRule="auto"/>
        <w:tabs>
          <w:tab w:leader="none" w:pos="160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The Company is not, and is not an Affiliate of, and immediately after receipt of payment for the Securities, will not be or be an Affiliate of, an “investment company” required to register under the Investment Company Act of 1940, as amended. The Company shall conduct its business in a manner so that it will not become an “investment company” subject to registration under the Investment Company Act of 1940, as amended.</w:t>
      </w:r>
    </w:p>
    <w:p>
      <w:pPr>
        <w:spacing w:after="0" w:line="181" w:lineRule="exact"/>
        <w:rPr>
          <w:rFonts w:ascii="Times New Roman" w:cs="Times New Roman" w:eastAsia="Times New Roman" w:hAnsi="Times New Roman"/>
          <w:sz w:val="22"/>
          <w:szCs w:val="22"/>
          <w:color w:val="auto"/>
        </w:rPr>
      </w:pPr>
    </w:p>
    <w:p>
      <w:pPr>
        <w:jc w:val="both"/>
        <w:ind w:left="320" w:firstLine="745"/>
        <w:spacing w:after="0" w:line="242" w:lineRule="auto"/>
        <w:tabs>
          <w:tab w:leader="none" w:pos="160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Other than each of the Purchasers pursuant to the Registration Rights Agreement or as otherwise set forth in the SEC Reports, no Person has any right to cause the Company or any Subsidiary to effect the registration under the Securities Act of any securities of the Company or any Subsidiary.</w:t>
      </w:r>
    </w:p>
    <w:p>
      <w:pPr>
        <w:spacing w:after="0" w:line="177" w:lineRule="exact"/>
        <w:rPr>
          <w:rFonts w:ascii="Times New Roman" w:cs="Times New Roman" w:eastAsia="Times New Roman" w:hAnsi="Times New Roman"/>
          <w:sz w:val="22"/>
          <w:szCs w:val="22"/>
          <w:color w:val="auto"/>
        </w:rPr>
      </w:pPr>
    </w:p>
    <w:p>
      <w:pPr>
        <w:jc w:val="both"/>
        <w:ind w:left="320" w:firstLine="745"/>
        <w:spacing w:after="0" w:line="233" w:lineRule="auto"/>
        <w:tabs>
          <w:tab w:leader="none" w:pos="160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and Maintenance Requirements</w:t>
      </w:r>
      <w:r>
        <w:rPr>
          <w:rFonts w:ascii="Times New Roman" w:cs="Times New Roman" w:eastAsia="Times New Roman" w:hAnsi="Times New Roman"/>
          <w:sz w:val="22"/>
          <w:szCs w:val="22"/>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0" w:lineRule="exact"/>
        <w:rPr>
          <w:rFonts w:ascii="Times New Roman" w:cs="Times New Roman" w:eastAsia="Times New Roman" w:hAnsi="Times New Roman"/>
          <w:sz w:val="22"/>
          <w:szCs w:val="22"/>
          <w:color w:val="auto"/>
        </w:rPr>
      </w:pPr>
    </w:p>
    <w:p>
      <w:pPr>
        <w:jc w:val="both"/>
        <w:ind w:left="320" w:firstLine="745"/>
        <w:spacing w:after="0" w:line="249" w:lineRule="exact"/>
        <w:tabs>
          <w:tab w:leader="none" w:pos="160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Takeover Protections</w:t>
      </w:r>
      <w:r>
        <w:rPr>
          <w:rFonts w:ascii="Times New Roman" w:cs="Times New Roman" w:eastAsia="Times New Roman" w:hAnsi="Times New Roman"/>
          <w:sz w:val="22"/>
          <w:szCs w:val="22"/>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4" w:lineRule="exact"/>
        <w:rPr>
          <w:rFonts w:ascii="Times New Roman" w:cs="Times New Roman" w:eastAsia="Times New Roman" w:hAnsi="Times New Roman"/>
          <w:sz w:val="22"/>
          <w:szCs w:val="22"/>
          <w:color w:val="auto"/>
        </w:rPr>
      </w:pPr>
    </w:p>
    <w:p>
      <w:pPr>
        <w:jc w:val="both"/>
        <w:ind w:left="320" w:firstLine="745"/>
        <w:spacing w:after="0" w:line="237" w:lineRule="auto"/>
        <w:tabs>
          <w:tab w:leader="none" w:pos="160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material, non-public information. The Company understands and confirms that the Purchasers will rely on the foregoing representation in effecting transactions in securities of the Company. All of the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7" w:name="page108"/>
    <w:bookmarkEnd w:id="107"/>
    <w:p>
      <w:pPr>
        <w:jc w:val="both"/>
        <w:ind w:left="320"/>
        <w:spacing w:after="0" w:line="233" w:lineRule="auto"/>
        <w:rPr>
          <w:sz w:val="20"/>
          <w:szCs w:val="20"/>
          <w:color w:val="auto"/>
        </w:rPr>
      </w:pPr>
      <w:r>
        <w:rPr>
          <w:rFonts w:ascii="Times New Roman" w:cs="Times New Roman" w:eastAsia="Times New Roman" w:hAnsi="Times New Roman"/>
          <w:sz w:val="22"/>
          <w:szCs w:val="22"/>
          <w:color w:val="auto"/>
        </w:rPr>
        <w:t>written materials furnished by or on behalf of the Company to the Purchasers regarding the Company and its Subsidiaries, their respective businesses and the transactions contemplated hereby, taken as a whole,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the Transaction Documents.</w:t>
      </w:r>
    </w:p>
    <w:p>
      <w:pPr>
        <w:spacing w:after="0" w:line="184" w:lineRule="exact"/>
        <w:rPr>
          <w:sz w:val="20"/>
          <w:szCs w:val="20"/>
          <w:color w:val="auto"/>
        </w:rPr>
      </w:pPr>
    </w:p>
    <w:p>
      <w:pPr>
        <w:jc w:val="both"/>
        <w:ind w:left="320" w:firstLine="745"/>
        <w:spacing w:after="0" w:line="235" w:lineRule="auto"/>
        <w:tabs>
          <w:tab w:leader="none" w:pos="160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Integrated Offering</w:t>
      </w:r>
      <w:r>
        <w:rPr>
          <w:rFonts w:ascii="Times New Roman" w:cs="Times New Roman" w:eastAsia="Times New Roman" w:hAnsi="Times New Roman"/>
          <w:sz w:val="22"/>
          <w:szCs w:val="22"/>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-31115</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jc w:val="both"/>
        <w:ind w:left="320" w:firstLine="745"/>
        <w:spacing w:after="0" w:line="231" w:lineRule="auto"/>
        <w:tabs>
          <w:tab w:leader="none" w:pos="160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currently planned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dates thereof all outstanding secured and unsecured Indebtedness of the Company or its Subsidiaries, or for which the Company or any Subsidiary has commitments. For the purposes of this Agreement,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(x) any liabilities for borrowed money or amounts owed in excess of $100,000 (other than trade accounts payable incurred in the ordinary course of business), (y) all guaranties, endorsements and other contingent</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8" w:name="page109"/>
    <w:bookmarkEnd w:id="108"/>
    <w:p>
      <w:pPr>
        <w:jc w:val="both"/>
        <w:ind w:left="320"/>
        <w:spacing w:after="0" w:line="237" w:lineRule="auto"/>
        <w:rPr>
          <w:sz w:val="20"/>
          <w:szCs w:val="20"/>
          <w:color w:val="auto"/>
        </w:rPr>
      </w:pPr>
      <w:r>
        <w:rPr>
          <w:rFonts w:ascii="Times New Roman" w:cs="Times New Roman" w:eastAsia="Times New Roman" w:hAnsi="Times New Roman"/>
          <w:sz w:val="22"/>
          <w:szCs w:val="22"/>
          <w:color w:val="auto"/>
        </w:rPr>
        <w:t>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79" w:lineRule="exact"/>
        <w:rPr>
          <w:sz w:val="20"/>
          <w:szCs w:val="20"/>
          <w:color w:val="auto"/>
        </w:rPr>
      </w:pPr>
    </w:p>
    <w:p>
      <w:pPr>
        <w:jc w:val="both"/>
        <w:ind w:left="320" w:firstLine="745"/>
        <w:spacing w:after="0" w:line="233" w:lineRule="auto"/>
        <w:tabs>
          <w:tab w:leader="none" w:pos="160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6"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60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81" w:lineRule="exact"/>
        <w:rPr>
          <w:rFonts w:ascii="Times New Roman" w:cs="Times New Roman" w:eastAsia="Times New Roman" w:hAnsi="Times New Roman"/>
          <w:sz w:val="22"/>
          <w:szCs w:val="22"/>
          <w:color w:val="auto"/>
        </w:rPr>
      </w:pPr>
    </w:p>
    <w:p>
      <w:pPr>
        <w:jc w:val="both"/>
        <w:ind w:left="320" w:firstLine="745"/>
        <w:spacing w:after="0" w:line="261" w:lineRule="auto"/>
        <w:tabs>
          <w:tab w:leader="none" w:pos="160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Corrupt Practices.</w:t>
      </w:r>
      <w:r>
        <w:rPr>
          <w:rFonts w:ascii="Times New Roman" w:cs="Times New Roman" w:eastAsia="Times New Roman" w:hAnsi="Times New Roman"/>
          <w:sz w:val="20"/>
          <w:szCs w:val="20"/>
          <w:color w:val="auto"/>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61" w:lineRule="exact"/>
        <w:rPr>
          <w:rFonts w:ascii="Times New Roman" w:cs="Times New Roman" w:eastAsia="Times New Roman" w:hAnsi="Times New Roman"/>
          <w:sz w:val="20"/>
          <w:szCs w:val="20"/>
          <w:color w:val="auto"/>
        </w:rPr>
      </w:pPr>
    </w:p>
    <w:p>
      <w:pPr>
        <w:jc w:val="both"/>
        <w:ind w:left="320" w:firstLine="745"/>
        <w:spacing w:after="0" w:line="238" w:lineRule="auto"/>
        <w:tabs>
          <w:tab w:leader="none" w:pos="160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The Company’s independent registered public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spacing w:after="0" w:line="181"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71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Regarding Purchasers’ Purchase of Securities</w:t>
      </w:r>
      <w:r>
        <w:rPr>
          <w:rFonts w:ascii="Times New Roman" w:cs="Times New Roman" w:eastAsia="Times New Roman" w:hAnsi="Times New Roman"/>
          <w:sz w:val="22"/>
          <w:szCs w:val="22"/>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09" w:name="page110"/>
    <w:bookmarkEnd w:id="109"/>
    <w:p>
      <w:pPr>
        <w:jc w:val="both"/>
        <w:ind w:left="320"/>
        <w:spacing w:after="0" w:line="263" w:lineRule="auto"/>
        <w:rPr>
          <w:sz w:val="20"/>
          <w:szCs w:val="20"/>
          <w:color w:val="auto"/>
        </w:rPr>
      </w:pPr>
      <w:r>
        <w:rPr>
          <w:rFonts w:ascii="Times New Roman" w:cs="Times New Roman" w:eastAsia="Times New Roman" w:hAnsi="Times New Roman"/>
          <w:sz w:val="20"/>
          <w:szCs w:val="20"/>
          <w:color w:val="auto"/>
        </w:rPr>
        <w:t>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58" w:lineRule="exact"/>
        <w:rPr>
          <w:sz w:val="20"/>
          <w:szCs w:val="20"/>
          <w:color w:val="auto"/>
        </w:rPr>
      </w:pPr>
    </w:p>
    <w:p>
      <w:pPr>
        <w:jc w:val="both"/>
        <w:ind w:left="320" w:firstLine="745"/>
        <w:spacing w:after="0" w:line="256" w:lineRule="auto"/>
        <w:tabs>
          <w:tab w:leader="none" w:pos="160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Regarding Purchaser’s Trading Activity.</w:t>
      </w:r>
      <w:r>
        <w:rPr>
          <w:rFonts w:ascii="Times New Roman" w:cs="Times New Roman" w:eastAsia="Times New Roman" w:hAnsi="Times New Roman"/>
          <w:sz w:val="20"/>
          <w:szCs w:val="20"/>
          <w:color w:val="auto"/>
        </w:rPr>
        <w:t xml:space="preserve"> Anything in this Agreement or elsewhere herein to the contrary notwithstanding (except for Sections 3.2(g)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1600" w:hanging="535"/>
        <w:spacing w:after="0"/>
        <w:tabs>
          <w:tab w:leader="none" w:pos="160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Regulation M Compliance.</w:t>
      </w:r>
      <w:r>
        <w:rPr>
          <w:rFonts w:ascii="Times New Roman" w:cs="Times New Roman" w:eastAsia="Times New Roman" w:hAnsi="Times New Roman"/>
          <w:sz w:val="22"/>
          <w:szCs w:val="22"/>
          <w:color w:val="auto"/>
        </w:rPr>
        <w:t xml:space="preserve"> The Company has not, and to its knowledge no one acting on its behalf has,</w:t>
      </w:r>
    </w:p>
    <w:p>
      <w:pPr>
        <w:spacing w:after="0" w:line="13" w:lineRule="exact"/>
        <w:rPr>
          <w:rFonts w:ascii="Times New Roman" w:cs="Times New Roman" w:eastAsia="Times New Roman" w:hAnsi="Times New Roman"/>
          <w:sz w:val="22"/>
          <w:szCs w:val="22"/>
          <w:color w:val="auto"/>
        </w:rPr>
      </w:pPr>
    </w:p>
    <w:p>
      <w:pPr>
        <w:jc w:val="both"/>
        <w:ind w:left="320" w:hanging="4"/>
        <w:spacing w:after="0" w:line="252" w:lineRule="auto"/>
        <w:tabs>
          <w:tab w:leader="none" w:pos="58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w:t>
      </w:r>
    </w:p>
    <w:p>
      <w:pPr>
        <w:spacing w:after="0" w:line="3" w:lineRule="exact"/>
        <w:rPr>
          <w:rFonts w:ascii="Times New Roman" w:cs="Times New Roman" w:eastAsia="Times New Roman" w:hAnsi="Times New Roman"/>
          <w:sz w:val="20"/>
          <w:szCs w:val="20"/>
          <w:color w:val="auto"/>
        </w:rPr>
      </w:pPr>
    </w:p>
    <w:p>
      <w:pPr>
        <w:ind w:left="640" w:hanging="324"/>
        <w:spacing w:after="0"/>
        <w:tabs>
          <w:tab w:leader="none" w:pos="6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(iii), compensation paid to the Company’s placement agent in connection with the placement of the Securities.</w:t>
      </w:r>
    </w:p>
    <w:p>
      <w:pPr>
        <w:spacing w:after="0" w:line="180" w:lineRule="exact"/>
        <w:rPr>
          <w:rFonts w:ascii="Times New Roman" w:cs="Times New Roman" w:eastAsia="Times New Roman" w:hAnsi="Times New Roman"/>
          <w:sz w:val="22"/>
          <w:szCs w:val="22"/>
          <w:color w:val="auto"/>
        </w:rPr>
      </w:pPr>
    </w:p>
    <w:p>
      <w:pPr>
        <w:jc w:val="both"/>
        <w:ind w:left="320" w:firstLine="745"/>
        <w:spacing w:after="0" w:line="237" w:lineRule="auto"/>
        <w:tabs>
          <w:tab w:leader="none" w:pos="160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As to each product subject to the jurisdiction of the U.S. Food and Drug Administration (“</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under the Federal Food, Drug and Cosmetic Act, as amended, and the regulations thereunder (“</w:t>
      </w:r>
      <w:r>
        <w:rPr>
          <w:rFonts w:ascii="Times New Roman" w:cs="Times New Roman" w:eastAsia="Times New Roman" w:hAnsi="Times New Roman"/>
          <w:sz w:val="22"/>
          <w:szCs w:val="22"/>
          <w:u w:val="single" w:color="auto"/>
          <w:color w:val="auto"/>
        </w:rPr>
        <w:t>FDCA</w:t>
      </w:r>
      <w:r>
        <w:rPr>
          <w:rFonts w:ascii="Times New Roman" w:cs="Times New Roman" w:eastAsia="Times New Roman" w:hAnsi="Times New Roman"/>
          <w:sz w:val="22"/>
          <w:szCs w:val="22"/>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22"/>
          <w:szCs w:val="22"/>
          <w:u w:val="single" w:color="auto"/>
          <w:color w:val="auto"/>
        </w:rPr>
        <w:t>Pharmaceutical Product</w:t>
      </w:r>
      <w:r>
        <w:rPr>
          <w:rFonts w:ascii="Times New Roman" w:cs="Times New Roman" w:eastAsia="Times New Roman" w:hAnsi="Times New Roman"/>
          <w:sz w:val="22"/>
          <w:szCs w:val="22"/>
          <w:color w:val="auto"/>
        </w:rPr>
        <w:t>”), such Pharmaceutical Product is being manufactured, packaged, labeled, tested, distributed, sold and/or marketed by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10" w:name="page111"/>
    <w:bookmarkEnd w:id="110"/>
    <w:p>
      <w:pPr>
        <w:jc w:val="both"/>
        <w:ind w:left="320"/>
        <w:spacing w:after="0" w:line="231" w:lineRule="auto"/>
        <w:rPr>
          <w:sz w:val="20"/>
          <w:szCs w:val="20"/>
          <w:color w:val="auto"/>
        </w:rPr>
      </w:pPr>
      <w:r>
        <w:rPr>
          <w:rFonts w:ascii="Times New Roman" w:cs="Times New Roman" w:eastAsia="Times New Roman" w:hAnsi="Times New Roman"/>
          <w:sz w:val="22"/>
          <w:szCs w:val="22"/>
          <w:color w:val="auto"/>
        </w:rPr>
        <w:t>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material concern as to approving or clearing for marketing any product being developed or proposed to be developed by the Company.</w:t>
      </w:r>
    </w:p>
    <w:p>
      <w:pPr>
        <w:spacing w:after="0" w:line="193" w:lineRule="exact"/>
        <w:rPr>
          <w:sz w:val="20"/>
          <w:szCs w:val="20"/>
          <w:color w:val="auto"/>
        </w:rPr>
      </w:pPr>
    </w:p>
    <w:p>
      <w:pPr>
        <w:ind w:left="1600" w:hanging="535"/>
        <w:spacing w:after="0"/>
        <w:tabs>
          <w:tab w:leader="none" w:pos="16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Intentionally Omitted</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320" w:firstLine="745"/>
        <w:spacing w:after="0" w:line="261" w:lineRule="auto"/>
        <w:tabs>
          <w:tab w:leader="none" w:pos="160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Option Plans</w:t>
      </w:r>
      <w:r>
        <w:rPr>
          <w:rFonts w:ascii="Times New Roman" w:cs="Times New Roman" w:eastAsia="Times New Roman" w:hAnsi="Times New Roman"/>
          <w:sz w:val="20"/>
          <w:szCs w:val="20"/>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61" w:lineRule="exact"/>
        <w:rPr>
          <w:rFonts w:ascii="Times New Roman" w:cs="Times New Roman" w:eastAsia="Times New Roman" w:hAnsi="Times New Roman"/>
          <w:sz w:val="20"/>
          <w:szCs w:val="20"/>
          <w:color w:val="auto"/>
        </w:rPr>
      </w:pPr>
    </w:p>
    <w:p>
      <w:pPr>
        <w:jc w:val="both"/>
        <w:ind w:left="320" w:firstLine="745"/>
        <w:spacing w:after="0" w:line="237" w:lineRule="auto"/>
        <w:tabs>
          <w:tab w:leader="none" w:pos="160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Cybersecurity</w:t>
      </w:r>
      <w:r>
        <w:rPr>
          <w:rFonts w:ascii="Times New Roman" w:cs="Times New Roman" w:eastAsia="Times New Roman" w:hAnsi="Times New Roman"/>
          <w:sz w:val="22"/>
          <w:szCs w:val="22"/>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22"/>
          <w:szCs w:val="22"/>
          <w:u w:val="single" w:color="auto"/>
          <w:color w:val="auto"/>
        </w:rPr>
        <w:t>IT Systems and Data</w:t>
      </w:r>
      <w:r>
        <w:rPr>
          <w:rFonts w:ascii="Times New Roman" w:cs="Times New Roman" w:eastAsia="Times New Roman" w:hAnsi="Times New Roman"/>
          <w:sz w:val="22"/>
          <w:szCs w:val="22"/>
          <w:color w:val="auto"/>
        </w:rPr>
        <w:t>”) and (y) the Company and the Subsidiaries have not been notified of, and has no</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11" w:name="page112"/>
    <w:bookmarkEnd w:id="111"/>
    <w:p>
      <w:pPr>
        <w:jc w:val="both"/>
        <w:ind w:left="320"/>
        <w:spacing w:after="0" w:line="233" w:lineRule="auto"/>
        <w:rPr>
          <w:sz w:val="20"/>
          <w:szCs w:val="20"/>
          <w:color w:val="auto"/>
        </w:rPr>
      </w:pPr>
      <w:r>
        <w:rPr>
          <w:rFonts w:ascii="Times New Roman" w:cs="Times New Roman" w:eastAsia="Times New Roman" w:hAnsi="Times New Roman"/>
          <w:sz w:val="22"/>
          <w:szCs w:val="22"/>
          <w:color w:val="auto"/>
        </w:rPr>
        <w:t>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4" w:lineRule="exact"/>
        <w:rPr>
          <w:sz w:val="20"/>
          <w:szCs w:val="20"/>
          <w:color w:val="auto"/>
        </w:rPr>
      </w:pPr>
    </w:p>
    <w:p>
      <w:pPr>
        <w:jc w:val="both"/>
        <w:ind w:left="320" w:firstLine="745"/>
        <w:spacing w:after="0" w:line="255" w:lineRule="auto"/>
        <w:tabs>
          <w:tab w:leader="none" w:pos="160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Data Privacy Laws</w:t>
      </w:r>
      <w:r>
        <w:rPr>
          <w:rFonts w:ascii="Times New Roman" w:cs="Times New Roman" w:eastAsia="Times New Roman" w:hAnsi="Times New Roman"/>
          <w:sz w:val="20"/>
          <w:szCs w:val="20"/>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20"/>
          <w:szCs w:val="20"/>
          <w:u w:val="single" w:color="auto"/>
          <w:color w:val="auto"/>
        </w:rPr>
        <w:t>GDPR</w:t>
      </w:r>
      <w:r>
        <w:rPr>
          <w:rFonts w:ascii="Times New Roman" w:cs="Times New Roman" w:eastAsia="Times New Roman" w:hAnsi="Times New Roman"/>
          <w:sz w:val="20"/>
          <w:szCs w:val="20"/>
          <w:color w:val="auto"/>
        </w:rPr>
        <w:t>”) (EU 2016/679) (collectively, “</w:t>
      </w:r>
      <w:r>
        <w:rPr>
          <w:rFonts w:ascii="Times New Roman" w:cs="Times New Roman" w:eastAsia="Times New Roman" w:hAnsi="Times New Roman"/>
          <w:sz w:val="20"/>
          <w:szCs w:val="20"/>
          <w:u w:val="single" w:color="auto"/>
          <w:color w:val="auto"/>
        </w:rPr>
        <w:t>Privacy Laws</w:t>
      </w:r>
      <w:r>
        <w:rPr>
          <w:rFonts w:ascii="Times New Roman" w:cs="Times New Roman" w:eastAsia="Times New Roman" w:hAnsi="Times New Roman"/>
          <w:sz w:val="20"/>
          <w:szCs w:val="20"/>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20"/>
          <w:szCs w:val="20"/>
          <w:u w:val="single" w:color="auto"/>
          <w:color w:val="auto"/>
        </w:rPr>
        <w:t>Policies</w:t>
      </w:r>
      <w:r>
        <w:rPr>
          <w:rFonts w:ascii="Times New Roman" w:cs="Times New Roman" w:eastAsia="Times New Roman" w:hAnsi="Times New Roman"/>
          <w:sz w:val="20"/>
          <w:szCs w:val="20"/>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20"/>
          <w:szCs w:val="20"/>
          <w:u w:val="single" w:color="auto"/>
          <w:color w:val="auto"/>
        </w:rPr>
        <w:t>Personal Data</w:t>
      </w:r>
      <w:r>
        <w:rPr>
          <w:rFonts w:ascii="Times New Roman" w:cs="Times New Roman" w:eastAsia="Times New Roman" w:hAnsi="Times New Roman"/>
          <w:sz w:val="20"/>
          <w:szCs w:val="20"/>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ind w:left="1600" w:hanging="535"/>
        <w:spacing w:after="0"/>
        <w:tabs>
          <w:tab w:leader="none" w:pos="16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 of Foreign Assets Control</w:t>
      </w:r>
      <w:r>
        <w:rPr>
          <w:rFonts w:ascii="Times New Roman" w:cs="Times New Roman" w:eastAsia="Times New Roman" w:hAnsi="Times New Roman"/>
          <w:sz w:val="22"/>
          <w:szCs w:val="22"/>
          <w:color w:val="auto"/>
        </w:rPr>
        <w:t>. Neither the Company nor any Subsidiary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12" w:name="page113"/>
    <w:bookmarkEnd w:id="112"/>
    <w:p>
      <w:pPr>
        <w:jc w:val="both"/>
        <w:ind w:left="320"/>
        <w:spacing w:after="0" w:line="242" w:lineRule="auto"/>
        <w:rPr>
          <w:sz w:val="20"/>
          <w:szCs w:val="20"/>
          <w:color w:val="auto"/>
        </w:rPr>
      </w:pPr>
      <w:r>
        <w:rPr>
          <w:rFonts w:ascii="Times New Roman" w:cs="Times New Roman" w:eastAsia="Times New Roman" w:hAnsi="Times New Roman"/>
          <w:sz w:val="22"/>
          <w:szCs w:val="22"/>
          <w:color w:val="auto"/>
        </w:rPr>
        <w:t>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320" w:right="340" w:firstLine="745"/>
        <w:spacing w:after="0" w:line="242" w:lineRule="auto"/>
        <w:tabs>
          <w:tab w:leader="none" w:pos="160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 Real Property Holding Corporation</w:t>
      </w:r>
      <w:r>
        <w:rPr>
          <w:rFonts w:ascii="Times New Roman" w:cs="Times New Roman" w:eastAsia="Times New Roman" w:hAnsi="Times New Roman"/>
          <w:sz w:val="22"/>
          <w:szCs w:val="22"/>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77" w:lineRule="exact"/>
        <w:rPr>
          <w:rFonts w:ascii="Times New Roman" w:cs="Times New Roman" w:eastAsia="Times New Roman" w:hAnsi="Times New Roman"/>
          <w:sz w:val="22"/>
          <w:szCs w:val="22"/>
          <w:color w:val="auto"/>
        </w:rPr>
      </w:pPr>
    </w:p>
    <w:p>
      <w:pPr>
        <w:jc w:val="both"/>
        <w:ind w:left="320" w:firstLine="745"/>
        <w:spacing w:after="0" w:line="234" w:lineRule="auto"/>
        <w:tabs>
          <w:tab w:leader="none" w:pos="160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 Holding Company Act</w:t>
      </w:r>
      <w:r>
        <w:rPr>
          <w:rFonts w:ascii="Times New Roman" w:cs="Times New Roman" w:eastAsia="Times New Roman" w:hAnsi="Times New Roman"/>
          <w:sz w:val="22"/>
          <w:szCs w:val="22"/>
          <w:color w:val="auto"/>
        </w:rPr>
        <w:t>. Neither the Company nor any of its Subsidiaries or Affiliates is subject to the Bank Holding Company Act of 1956, as amended (the “</w:t>
      </w:r>
      <w:r>
        <w:rPr>
          <w:rFonts w:ascii="Times New Roman" w:cs="Times New Roman" w:eastAsia="Times New Roman" w:hAnsi="Times New Roman"/>
          <w:sz w:val="22"/>
          <w:szCs w:val="22"/>
          <w:u w:val="single" w:color="auto"/>
          <w:color w:val="auto"/>
        </w:rPr>
        <w:t>BHCA</w:t>
      </w:r>
      <w:r>
        <w:rPr>
          <w:rFonts w:ascii="Times New Roman" w:cs="Times New Roman" w:eastAsia="Times New Roman" w:hAnsi="Times New Roman"/>
          <w:sz w:val="22"/>
          <w:szCs w:val="22"/>
          <w:color w:val="auto"/>
        </w:rPr>
        <w:t>”) and to regulation by the Board of Governors of the Federal Reserve System (the “</w:t>
      </w:r>
      <w:r>
        <w:rPr>
          <w:rFonts w:ascii="Times New Roman" w:cs="Times New Roman" w:eastAsia="Times New Roman" w:hAnsi="Times New Roman"/>
          <w:sz w:val="22"/>
          <w:szCs w:val="22"/>
          <w:u w:val="single" w:color="auto"/>
          <w:color w:val="auto"/>
        </w:rPr>
        <w:t>Federal Reserve</w:t>
      </w:r>
      <w:r>
        <w:rPr>
          <w:rFonts w:ascii="Times New Roman" w:cs="Times New Roman" w:eastAsia="Times New Roman" w:hAnsi="Times New Roman"/>
          <w:sz w:val="22"/>
          <w:szCs w:val="22"/>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1"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Money Laundering</w:t>
      </w:r>
      <w:r>
        <w:rPr>
          <w:rFonts w:ascii="Times New Roman" w:cs="Times New Roman" w:eastAsia="Times New Roman" w:hAnsi="Times New Roman"/>
          <w:sz w:val="22"/>
          <w:szCs w:val="22"/>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22"/>
          <w:szCs w:val="22"/>
          <w:u w:val="single" w:color="auto"/>
          <w:color w:val="auto"/>
        </w:rPr>
        <w:t>Money Laundering Laws</w:t>
      </w:r>
      <w:r>
        <w:rPr>
          <w:rFonts w:ascii="Times New Roman" w:cs="Times New Roman" w:eastAsia="Times New Roman" w:hAnsi="Times New Roman"/>
          <w:sz w:val="22"/>
          <w:szCs w:val="22"/>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22"/>
          <w:szCs w:val="22"/>
          <w:color w:val="auto"/>
        </w:rPr>
      </w:pPr>
    </w:p>
    <w:p>
      <w:pPr>
        <w:jc w:val="both"/>
        <w:ind w:left="320" w:firstLine="745"/>
        <w:spacing w:after="0" w:line="257" w:lineRule="auto"/>
        <w:tabs>
          <w:tab w:leader="none" w:pos="1608"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Disqualification Events</w:t>
      </w:r>
      <w:r>
        <w:rPr>
          <w:rFonts w:ascii="Times New Roman" w:cs="Times New Roman" w:eastAsia="Times New Roman" w:hAnsi="Times New Roman"/>
          <w:sz w:val="20"/>
          <w:szCs w:val="20"/>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20"/>
          <w:szCs w:val="20"/>
          <w:u w:val="single" w:color="auto"/>
          <w:color w:val="auto"/>
        </w:rPr>
        <w:t>Issuer Covered Person</w:t>
      </w:r>
      <w:r>
        <w:rPr>
          <w:rFonts w:ascii="Times New Roman" w:cs="Times New Roman" w:eastAsia="Times New Roman" w:hAnsi="Times New Roman"/>
          <w:sz w:val="20"/>
          <w:szCs w:val="20"/>
          <w:color w:val="auto"/>
        </w:rPr>
        <w:t>”) is subject to any of the "Bad Actor" disqualifications described in Rule 506(d)(1)</w:t>
      </w:r>
    </w:p>
    <w:p>
      <w:pPr>
        <w:jc w:val="both"/>
        <w:ind w:left="320" w:hanging="4"/>
        <w:spacing w:after="0" w:line="233" w:lineRule="auto"/>
        <w:tabs>
          <w:tab w:leader="none" w:pos="59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(viii) under the Securities Act (a “</w:t>
      </w:r>
      <w:r>
        <w:rPr>
          <w:rFonts w:ascii="Times New Roman" w:cs="Times New Roman" w:eastAsia="Times New Roman" w:hAnsi="Times New Roman"/>
          <w:sz w:val="22"/>
          <w:szCs w:val="22"/>
          <w:u w:val="single" w:color="auto"/>
          <w:color w:val="auto"/>
        </w:rPr>
        <w:t>Disqualification Event</w:t>
      </w:r>
      <w:r>
        <w:rPr>
          <w:rFonts w:ascii="Times New Roman" w:cs="Times New Roman" w:eastAsia="Times New Roman" w:hAnsi="Times New Roman"/>
          <w:sz w:val="22"/>
          <w:szCs w:val="22"/>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78" w:lineRule="exact"/>
        <w:rPr>
          <w:rFonts w:ascii="Times New Roman" w:cs="Times New Roman" w:eastAsia="Times New Roman" w:hAnsi="Times New Roman"/>
          <w:sz w:val="22"/>
          <w:szCs w:val="22"/>
          <w:color w:val="auto"/>
        </w:rPr>
      </w:pPr>
    </w:p>
    <w:p>
      <w:pPr>
        <w:jc w:val="both"/>
        <w:ind w:left="320" w:firstLine="745"/>
        <w:spacing w:after="0" w:line="242" w:lineRule="auto"/>
        <w:tabs>
          <w:tab w:leader="none" w:pos="1608"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Covered Persons</w:t>
      </w:r>
      <w:r>
        <w:rPr>
          <w:rFonts w:ascii="Times New Roman" w:cs="Times New Roman" w:eastAsia="Times New Roman" w:hAnsi="Times New Roman"/>
          <w:sz w:val="22"/>
          <w:szCs w:val="22"/>
          <w:color w:val="auto"/>
        </w:rPr>
        <w:t>. Other than the Placement Agent, the Company is not aware of any person (other than any Issuer Covered Person) that has been or will be paid (directly or indirectly) remuneration for solicitation of purchasers in connection with</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13" w:name="page114"/>
    <w:bookmarkEnd w:id="113"/>
    <w:p>
      <w:pPr>
        <w:ind w:left="760"/>
        <w:spacing w:after="0"/>
        <w:rPr>
          <w:sz w:val="20"/>
          <w:szCs w:val="20"/>
          <w:color w:val="auto"/>
        </w:rPr>
      </w:pPr>
      <w:r>
        <w:rPr>
          <w:rFonts w:ascii="Times New Roman" w:cs="Times New Roman" w:eastAsia="Times New Roman" w:hAnsi="Times New Roman"/>
          <w:sz w:val="22"/>
          <w:szCs w:val="22"/>
          <w:color w:val="auto"/>
        </w:rPr>
        <w:t>the sale of any Securities.</w:t>
      </w:r>
    </w:p>
    <w:p>
      <w:pPr>
        <w:spacing w:after="0" w:line="205" w:lineRule="exact"/>
        <w:rPr>
          <w:sz w:val="20"/>
          <w:szCs w:val="20"/>
          <w:color w:val="auto"/>
        </w:rPr>
      </w:pPr>
    </w:p>
    <w:p>
      <w:pPr>
        <w:jc w:val="both"/>
        <w:ind w:left="760" w:firstLine="745"/>
        <w:spacing w:after="0" w:line="238" w:lineRule="auto"/>
        <w:tabs>
          <w:tab w:leader="none" w:pos="204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Disqualification Events</w:t>
      </w:r>
      <w:r>
        <w:rPr>
          <w:rFonts w:ascii="Times New Roman" w:cs="Times New Roman" w:eastAsia="Times New Roman" w:hAnsi="Times New Roman"/>
          <w:sz w:val="22"/>
          <w:szCs w:val="22"/>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Representations and Warranties of the Purchasers</w:t>
      </w:r>
      <w:r>
        <w:rPr>
          <w:rFonts w:ascii="Times New Roman" w:cs="Times New Roman" w:eastAsia="Times New Roman" w:hAnsi="Times New Roman"/>
          <w:sz w:val="22"/>
          <w:szCs w:val="22"/>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8" w:lineRule="exact"/>
        <w:rPr>
          <w:sz w:val="20"/>
          <w:szCs w:val="20"/>
          <w:color w:val="auto"/>
        </w:rPr>
      </w:pPr>
    </w:p>
    <w:p>
      <w:pPr>
        <w:jc w:val="both"/>
        <w:ind w:left="760" w:firstLine="745"/>
        <w:spacing w:after="0" w:line="257" w:lineRule="auto"/>
        <w:tabs>
          <w:tab w:leader="none" w:pos="204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Authority</w:t>
      </w:r>
      <w:r>
        <w:rPr>
          <w:rFonts w:ascii="Times New Roman" w:cs="Times New Roman" w:eastAsia="Times New Roman" w:hAnsi="Times New Roman"/>
          <w:sz w:val="20"/>
          <w:szCs w:val="20"/>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65" w:lineRule="exact"/>
        <w:rPr>
          <w:rFonts w:ascii="Times New Roman" w:cs="Times New Roman" w:eastAsia="Times New Roman" w:hAnsi="Times New Roman"/>
          <w:sz w:val="20"/>
          <w:szCs w:val="20"/>
          <w:color w:val="auto"/>
        </w:rPr>
      </w:pPr>
    </w:p>
    <w:p>
      <w:pPr>
        <w:jc w:val="both"/>
        <w:ind w:left="760" w:firstLine="745"/>
        <w:spacing w:after="0" w:line="259" w:lineRule="auto"/>
        <w:tabs>
          <w:tab w:leader="none" w:pos="204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 Account</w:t>
      </w:r>
      <w:r>
        <w:rPr>
          <w:rFonts w:ascii="Times New Roman" w:cs="Times New Roman" w:eastAsia="Times New Roman" w:hAnsi="Times New Roman"/>
          <w:sz w:val="20"/>
          <w:szCs w:val="20"/>
          <w:color w:val="auto"/>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200" w:lineRule="exact"/>
        <w:rPr>
          <w:sz w:val="20"/>
          <w:szCs w:val="20"/>
          <w:color w:val="auto"/>
        </w:rPr>
      </w:pP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14" w:name="page115"/>
    <w:bookmarkEnd w:id="114"/>
    <w:p>
      <w:pPr>
        <w:jc w:val="both"/>
        <w:ind w:left="320" w:firstLine="745"/>
        <w:spacing w:after="0" w:line="238" w:lineRule="auto"/>
        <w:tabs>
          <w:tab w:leader="none" w:pos="160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Purchaser Status</w:t>
      </w:r>
      <w:r>
        <w:rPr>
          <w:rFonts w:ascii="Times New Roman" w:cs="Times New Roman" w:eastAsia="Times New Roman" w:hAnsi="Times New Roman"/>
          <w:sz w:val="22"/>
          <w:szCs w:val="22"/>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w:t>
      </w:r>
    </w:p>
    <w:p>
      <w:pPr>
        <w:spacing w:after="0" w:line="181"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Experience of Such Purchaser</w:t>
      </w:r>
      <w:r>
        <w:rPr>
          <w:rFonts w:ascii="Times New Roman" w:cs="Times New Roman" w:eastAsia="Times New Roman" w:hAnsi="Times New Roman"/>
          <w:sz w:val="22"/>
          <w:szCs w:val="22"/>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 Such Purchaser has a substantive pre-existing relationship with the Placement Agent.</w:t>
      </w:r>
    </w:p>
    <w:p>
      <w:pPr>
        <w:spacing w:after="0" w:line="183"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60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Solicitation</w:t>
      </w:r>
      <w:r>
        <w:rPr>
          <w:rFonts w:ascii="Times New Roman" w:cs="Times New Roman" w:eastAsia="Times New Roman" w:hAnsi="Times New Roman"/>
          <w:sz w:val="22"/>
          <w:szCs w:val="22"/>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81" w:lineRule="exact"/>
        <w:rPr>
          <w:rFonts w:ascii="Times New Roman" w:cs="Times New Roman" w:eastAsia="Times New Roman" w:hAnsi="Times New Roman"/>
          <w:sz w:val="22"/>
          <w:szCs w:val="22"/>
          <w:color w:val="auto"/>
        </w:rPr>
      </w:pPr>
    </w:p>
    <w:p>
      <w:pPr>
        <w:jc w:val="both"/>
        <w:ind w:left="320" w:firstLine="745"/>
        <w:spacing w:after="0" w:line="232" w:lineRule="auto"/>
        <w:tabs>
          <w:tab w:leader="none" w:pos="160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Information</w:t>
      </w:r>
      <w:r>
        <w:rPr>
          <w:rFonts w:ascii="Times New Roman" w:cs="Times New Roman" w:eastAsia="Times New Roman" w:hAnsi="Times New Roman"/>
          <w:sz w:val="22"/>
          <w:szCs w:val="22"/>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3"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Transactions and Confidentiality</w:t>
      </w:r>
      <w:r>
        <w:rPr>
          <w:rFonts w:ascii="Times New Roman" w:cs="Times New Roman" w:eastAsia="Times New Roman" w:hAnsi="Times New Roman"/>
          <w:sz w:val="22"/>
          <w:szCs w:val="22"/>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15" w:name="page116"/>
    <w:bookmarkEnd w:id="115"/>
    <w:p>
      <w:pPr>
        <w:jc w:val="both"/>
        <w:ind w:left="760"/>
        <w:spacing w:after="0" w:line="232" w:lineRule="auto"/>
        <w:rPr>
          <w:sz w:val="20"/>
          <w:szCs w:val="20"/>
          <w:color w:val="auto"/>
        </w:rPr>
      </w:pPr>
      <w:r>
        <w:rPr>
          <w:rFonts w:ascii="Times New Roman" w:cs="Times New Roman" w:eastAsia="Times New Roman" w:hAnsi="Times New Roman"/>
          <w:sz w:val="22"/>
          <w:szCs w:val="22"/>
          <w:color w:val="auto"/>
        </w:rPr>
        <w:t>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that are bound by confidentiality obligations,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AGREEMENTS OF THE PARTIES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760" w:firstLine="745"/>
        <w:spacing w:after="0" w:line="233" w:lineRule="auto"/>
        <w:tabs>
          <w:tab w:leader="none" w:pos="204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(including representations in Section 3.2(b) and (c) herein) and the Registration Rights Agreement and shall have the rights and obligations of a Purchaser under this Agreement and the Registration Rights Agreement.</w:t>
      </w:r>
    </w:p>
    <w:p>
      <w:pPr>
        <w:spacing w:after="0" w:line="186" w:lineRule="exact"/>
        <w:rPr>
          <w:rFonts w:ascii="Times New Roman" w:cs="Times New Roman" w:eastAsia="Times New Roman" w:hAnsi="Times New Roman"/>
          <w:sz w:val="22"/>
          <w:szCs w:val="22"/>
          <w:color w:val="auto"/>
        </w:rPr>
      </w:pPr>
    </w:p>
    <w:p>
      <w:pPr>
        <w:ind w:left="760" w:firstLine="745"/>
        <w:spacing w:after="0" w:line="255" w:lineRule="auto"/>
        <w:tabs>
          <w:tab w:leader="none" w:pos="204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Purchasers agree to the imprinting, so long as is required by this Section 4.1, of a legend on any of the Securities in the following form:</w:t>
      </w:r>
    </w:p>
    <w:p>
      <w:pPr>
        <w:spacing w:after="0" w:line="163" w:lineRule="exact"/>
        <w:rPr>
          <w:sz w:val="20"/>
          <w:szCs w:val="20"/>
          <w:color w:val="auto"/>
        </w:rPr>
      </w:pPr>
    </w:p>
    <w:p>
      <w:pPr>
        <w:jc w:val="both"/>
        <w:ind w:left="760" w:right="20"/>
        <w:spacing w:after="0" w:line="242" w:lineRule="auto"/>
        <w:rPr>
          <w:sz w:val="20"/>
          <w:szCs w:val="20"/>
          <w:color w:val="auto"/>
        </w:rPr>
      </w:pPr>
      <w:r>
        <w:rPr>
          <w:rFonts w:ascii="Times New Roman" w:cs="Times New Roman" w:eastAsia="Times New Roman" w:hAnsi="Times New Roman"/>
          <w:sz w:val="22"/>
          <w:szCs w:val="22"/>
          <w:color w:val="auto"/>
        </w:rPr>
        <w:t>THIS SECURITY HAS NOT BEEN REGISTERED WITH THE SECURITIES AND EXCHANGE COMMISSION OR THE SECURITIES COMMISSION OF ANY STATE IN RELIANCE UPON AN EXEMPTION FROM REGISTRATION UNDER THE SECURITIES ACT OF 1933, AS AMENDED (THE “SECURITIES ACT”), AND,</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16" w:name="page117"/>
    <w:bookmarkEnd w:id="116"/>
    <w:p>
      <w:pPr>
        <w:jc w:val="both"/>
        <w:ind w:left="320"/>
        <w:spacing w:after="0" w:line="233" w:lineRule="auto"/>
        <w:rPr>
          <w:sz w:val="20"/>
          <w:szCs w:val="20"/>
          <w:color w:val="auto"/>
        </w:rPr>
      </w:pPr>
      <w:r>
        <w:rPr>
          <w:rFonts w:ascii="Times New Roman" w:cs="Times New Roman" w:eastAsia="Times New Roman" w:hAnsi="Times New Roman"/>
          <w:sz w:val="22"/>
          <w:szCs w:val="22"/>
          <w:color w:val="auto"/>
        </w:rPr>
        <w:t>ACCORDINGLY, MAY NOT BE OFFERED OR SOLD EXCEPT PURSUANT TO AN EFFECTIVE REGISTRATION STATEMENT UNDER THE SECURITIES ACT OR PURSUANT TO AN AVAILABLE EXEMPTION FROM, OR IN A TRANSACTION NOT SUBJECT TO, THE REGISTRATION REQUIREMENTS OF THE SECURITIES ACT AS EVIDENCED BY A LEGAL OPINION OF COUNSEL TO THE TRANSFEROR TO SUCH EFFECT, THE SUBSTANCE OF WHICH SHALL BE REASONABLY ACCEPTABLE TO THE COMPANY,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4" w:lineRule="exact"/>
        <w:rPr>
          <w:sz w:val="20"/>
          <w:szCs w:val="20"/>
          <w:color w:val="auto"/>
        </w:rPr>
      </w:pPr>
    </w:p>
    <w:p>
      <w:pPr>
        <w:jc w:val="both"/>
        <w:ind w:left="320" w:firstLine="749"/>
        <w:spacing w:after="0" w:line="232" w:lineRule="auto"/>
        <w:rPr>
          <w:sz w:val="20"/>
          <w:szCs w:val="20"/>
          <w:color w:val="auto"/>
        </w:rPr>
      </w:pPr>
      <w:r>
        <w:rPr>
          <w:rFonts w:ascii="Times New Roman" w:cs="Times New Roman" w:eastAsia="Times New Roman" w:hAnsi="Times New Roman"/>
          <w:sz w:val="22"/>
          <w:szCs w:val="22"/>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spacing w:after="0" w:line="190" w:lineRule="exact"/>
        <w:rPr>
          <w:sz w:val="20"/>
          <w:szCs w:val="20"/>
          <w:color w:val="auto"/>
        </w:rPr>
      </w:pPr>
    </w:p>
    <w:p>
      <w:pPr>
        <w:jc w:val="both"/>
        <w:ind w:left="320" w:firstLine="745"/>
        <w:spacing w:after="0" w:line="257" w:lineRule="auto"/>
        <w:tabs>
          <w:tab w:leader="none" w:pos="160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and a holder of Securities is not an Affiliate of the Company),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Warrant Shares may be sold under Rule 144 and the Company is then in compliance with the current public information required under Rule 144 (assuming cashless exercise of the Warrant and the holder of Securities is not an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17" w:name="page118"/>
    <w:bookmarkEnd w:id="117"/>
    <w:p>
      <w:pPr>
        <w:jc w:val="both"/>
        <w:ind w:left="320"/>
        <w:spacing w:after="0" w:line="232" w:lineRule="auto"/>
        <w:rPr>
          <w:sz w:val="20"/>
          <w:szCs w:val="20"/>
          <w:color w:val="auto"/>
        </w:rPr>
      </w:pPr>
      <w:r>
        <w:rPr>
          <w:rFonts w:ascii="Times New Roman" w:cs="Times New Roman" w:eastAsia="Times New Roman" w:hAnsi="Times New Roman"/>
          <w:sz w:val="22"/>
          <w:szCs w:val="22"/>
          <w:color w:val="auto"/>
        </w:rPr>
        <w:t>Affiliate of the Company),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such time as such legend is no longer required under this Section 4.1(c), the Company will, no later than the earlier of (i) one (1) Trading Day and (ii) the number of Trading Days comprising the Standard Settlement Period (as defined below) following the delivery by a Purchaser to the Company or the Transfer Agent (with simultaneous notice to the Company if such delivery is to the Transfer Agent, failure of which notice to the Company shall not affect or alter the Company’s obligations hereunder) of a certificate representing Shares or Warrant Shares, as applicable, issued with a restrictive legend (such date, the “</w:t>
      </w:r>
      <w:r>
        <w:rPr>
          <w:rFonts w:ascii="Times New Roman" w:cs="Times New Roman" w:eastAsia="Times New Roman" w:hAnsi="Times New Roman"/>
          <w:sz w:val="22"/>
          <w:szCs w:val="22"/>
          <w:u w:val="single" w:color="auto"/>
          <w:color w:val="auto"/>
        </w:rPr>
        <w:t>Legend Removal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Shares and Warrant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22"/>
          <w:szCs w:val="22"/>
          <w:u w:val="single" w:color="auto"/>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on the Company’s primary Trading Market with respect to the Common Stock as in effect on the date of delivery of a certificate representing Shares or Warrant Shares, as applicable, issued with a restrictive legend.</w:t>
      </w:r>
    </w:p>
    <w:p>
      <w:pPr>
        <w:spacing w:after="0" w:line="209" w:lineRule="exact"/>
        <w:rPr>
          <w:sz w:val="20"/>
          <w:szCs w:val="20"/>
          <w:color w:val="auto"/>
        </w:rPr>
      </w:pPr>
    </w:p>
    <w:p>
      <w:pPr>
        <w:ind w:left="1600" w:hanging="535"/>
        <w:spacing w:after="0"/>
        <w:tabs>
          <w:tab w:leader="none" w:pos="16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such Purchaser’s other available remedies, the Company shall pay to a Purchaser, in cash,</w:t>
      </w:r>
    </w:p>
    <w:p>
      <w:pPr>
        <w:spacing w:after="0" w:line="13" w:lineRule="exact"/>
        <w:rPr>
          <w:rFonts w:ascii="Times New Roman" w:cs="Times New Roman" w:eastAsia="Times New Roman" w:hAnsi="Times New Roman"/>
          <w:sz w:val="22"/>
          <w:szCs w:val="22"/>
          <w:color w:val="auto"/>
        </w:rPr>
      </w:pPr>
    </w:p>
    <w:p>
      <w:pPr>
        <w:jc w:val="both"/>
        <w:ind w:left="320" w:hanging="4"/>
        <w:spacing w:after="0" w:line="230" w:lineRule="auto"/>
        <w:tabs>
          <w:tab w:leader="none" w:pos="58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22"/>
          <w:szCs w:val="22"/>
          <w:u w:val="single" w:color="auto"/>
          <w:color w:val="auto"/>
        </w:rPr>
        <w:t>Buy-In Price</w:t>
      </w:r>
      <w:r>
        <w:rPr>
          <w:rFonts w:ascii="Times New Roman" w:cs="Times New Roman" w:eastAsia="Times New Roman" w:hAnsi="Times New Roman"/>
          <w:sz w:val="22"/>
          <w:szCs w:val="22"/>
          <w:color w:val="auto"/>
        </w:rPr>
        <w:t>”) over the product of (A) such number of Shares and Warrant Shares that the Company was required to deliver to such Purchaser by the Legend Removal Date and for which the Purchaser was required to purchase shares of Common Stock to timely satisfy delivery requirements, multiplied by (B) the weighted average price at which the Purchaser sold that number of shares of Common Stock.</w:t>
      </w:r>
    </w:p>
    <w:p>
      <w:pPr>
        <w:spacing w:after="0" w:line="191" w:lineRule="exact"/>
        <w:rPr>
          <w:rFonts w:ascii="Times New Roman" w:cs="Times New Roman" w:eastAsia="Times New Roman" w:hAnsi="Times New Roman"/>
          <w:sz w:val="22"/>
          <w:szCs w:val="22"/>
          <w:color w:val="auto"/>
        </w:rPr>
      </w:pPr>
    </w:p>
    <w:p>
      <w:pPr>
        <w:ind w:left="320" w:firstLine="745"/>
        <w:spacing w:after="0" w:line="255" w:lineRule="auto"/>
        <w:tabs>
          <w:tab w:leader="none" w:pos="1608"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severally and not jointly with the other Purchasers, agrees with the Company that such Purchaser will sell any Securities pursuant to either the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18" w:name="page119"/>
    <w:bookmarkEnd w:id="118"/>
    <w:p>
      <w:pPr>
        <w:jc w:val="both"/>
        <w:ind w:left="760"/>
        <w:spacing w:after="0" w:line="237" w:lineRule="auto"/>
        <w:rPr>
          <w:sz w:val="20"/>
          <w:szCs w:val="20"/>
          <w:color w:val="auto"/>
        </w:rPr>
      </w:pPr>
      <w:r>
        <w:rPr>
          <w:rFonts w:ascii="Times New Roman" w:cs="Times New Roman" w:eastAsia="Times New Roman" w:hAnsi="Times New Roman"/>
          <w:sz w:val="22"/>
          <w:szCs w:val="22"/>
          <w:color w:val="auto"/>
        </w:rPr>
        <w:t>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0"/>
          <w:szCs w:val="20"/>
          <w:u w:val="single" w:color="auto"/>
          <w:color w:val="auto"/>
        </w:rPr>
        <w:t>Furnishing of Information; Public Information</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760" w:firstLine="745"/>
        <w:spacing w:after="0" w:line="235" w:lineRule="auto"/>
        <w:tabs>
          <w:tab w:leader="none" w:pos="2048"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not registered under Section 12(b) or 12(g) of the Exchange Act on the date hereof, the Company agrees to cause the Common Stock to be registered under Section 12(g) of the Exchange Act on or before the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calendar day following the date hereof. Until the earliest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55" w:lineRule="auto"/>
        <w:tabs>
          <w:tab w:leader="none" w:pos="2048"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during the period commencing from the six (6) month anniversary of the date hereof and ending at such time that all of the Shares or Warrant Shares (assuming cashless exercise) may be sold without the requirement for the Company to be in compliance with Rule 144(c)(1) and otherwise without restriction or limitation pursuant to Rule 144 (assuming that a holder of Securities is not an Affiliate of the Company and all Warrants are exercised via “cashless exercise”),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20"/>
          <w:szCs w:val="20"/>
          <w:u w:val="single" w:color="auto"/>
          <w:color w:val="auto"/>
        </w:rPr>
        <w:t>Public Information Failure</w:t>
      </w:r>
      <w:r>
        <w:rPr>
          <w:rFonts w:ascii="Times New Roman" w:cs="Times New Roman" w:eastAsia="Times New Roman" w:hAnsi="Times New Roman"/>
          <w:sz w:val="20"/>
          <w:szCs w:val="20"/>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aggregate Subscription Amount of the Securities then held by such Purchaser on the day of a Public Information Failure and on every thirtieth (30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day (pro rated for periods totaling less than thirty days and only with respect to Securities then held by such Purchaser on such dates) thereafter until the earlier of (a) the date such Public Information Failure is cured and (b) such time that such public information is no longer required for the Purchasers to transfer the Shares and Warrant Shares pursuant to Rule 144 (assuming that a holder of the Shares and Warrant Shares is not an Affiliate of the Company and all Warrants are exercised via “cashless exercise”); provided that the total amount of such payments shall not exceed fifteen percent (15%) of the Subscription Amount of the Purchaser’s Securities. The payments to which a Purchaser shall be entitled pursuant to this Section 4.2(b) are referred to herein as “</w:t>
      </w:r>
      <w:r>
        <w:rPr>
          <w:rFonts w:ascii="Times New Roman" w:cs="Times New Roman" w:eastAsia="Times New Roman" w:hAnsi="Times New Roman"/>
          <w:sz w:val="20"/>
          <w:szCs w:val="20"/>
          <w:u w:val="single" w:color="auto"/>
          <w:color w:val="auto"/>
        </w:rPr>
        <w:t>Public Information Failure Payments</w:t>
      </w:r>
      <w:r>
        <w:rPr>
          <w:rFonts w:ascii="Times New Roman" w:cs="Times New Roman" w:eastAsia="Times New Roman" w:hAnsi="Times New Roman"/>
          <w:sz w:val="20"/>
          <w:szCs w:val="20"/>
          <w:color w:val="auto"/>
        </w:rPr>
        <w:t>.” Public Information Failure Payments shall be paid on the earlier of (i) the last day of the calendar month during which such Public Information Failure Payments are incurred and</w:t>
      </w:r>
    </w:p>
    <w:p>
      <w:pPr>
        <w:spacing w:after="0" w:line="231" w:lineRule="exact"/>
        <w:rPr>
          <w:rFonts w:ascii="Times New Roman" w:cs="Times New Roman" w:eastAsia="Times New Roman" w:hAnsi="Times New Roman"/>
          <w:sz w:val="20"/>
          <w:szCs w:val="20"/>
          <w:color w:val="auto"/>
        </w:rPr>
      </w:pPr>
    </w:p>
    <w:p>
      <w:pPr>
        <w:ind w:left="760" w:hanging="4"/>
        <w:spacing w:after="0" w:line="236" w:lineRule="auto"/>
        <w:tabs>
          <w:tab w:leader="none" w:pos="108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Business Day after the event or failure giving rise to the Public Information Failure Payments is cured. In the event the Company fails to make Public Information Failure Payments in a timely manner, such Public</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19" w:name="page120"/>
    <w:bookmarkEnd w:id="119"/>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independent of any requirement to register such Securities as a result of the registration of such Securities as contemplated hereby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-31115</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Securities Laws Disclosure; Publicity</w:t>
      </w:r>
      <w:r>
        <w:rPr>
          <w:rFonts w:ascii="Times New Roman" w:cs="Times New Roman" w:eastAsia="Times New Roman" w:hAnsi="Times New Roman"/>
          <w:sz w:val="22"/>
          <w:szCs w:val="22"/>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other than required filings with the Commission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with the Commission of final Transaction Documents and (b) to the extent such disclosure is required by law or Trading Market regulations, in which case the Company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-22860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0" w:name="page121"/>
    <w:bookmarkEnd w:id="120"/>
    <w:p>
      <w:pPr>
        <w:jc w:val="both"/>
        <w:ind w:firstLine="509"/>
        <w:spacing w:after="0" w:line="255" w:lineRule="auto"/>
        <w:rPr>
          <w:sz w:val="20"/>
          <w:szCs w:val="20"/>
          <w:color w:val="auto"/>
        </w:rPr>
      </w:pPr>
      <w:r>
        <w:rPr>
          <w:rFonts w:ascii="Times New Roman" w:cs="Times New Roman" w:eastAsia="Times New Roman" w:hAnsi="Times New Roman"/>
          <w:sz w:val="22"/>
          <w:szCs w:val="22"/>
          <w:color w:val="auto"/>
        </w:rPr>
        <w:t>provide the applicable Purchasers with prior notice of such disclosure permitted under this clause (b) and reasonably cooperate with such Purchaser regarding such disclosure.</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Shareholder Rights Plan</w:t>
      </w:r>
      <w:r>
        <w:rPr>
          <w:rFonts w:ascii="Times New Roman" w:cs="Times New Roman" w:eastAsia="Times New Roman" w:hAnsi="Times New Roman"/>
          <w:sz w:val="20"/>
          <w:szCs w:val="20"/>
          <w:color w:val="auto"/>
        </w:rPr>
        <w:t>. No claim will be made or enforced by the Company or, with the consent of the Company, any other Person, that any Purchaser is an “</w:t>
      </w:r>
      <w:r>
        <w:rPr>
          <w:rFonts w:ascii="Times New Roman" w:cs="Times New Roman" w:eastAsia="Times New Roman" w:hAnsi="Times New Roman"/>
          <w:sz w:val="20"/>
          <w:szCs w:val="20"/>
          <w:u w:val="single" w:color="auto"/>
          <w:color w:val="auto"/>
        </w:rPr>
        <w:t>Acquiring Person</w:t>
      </w:r>
      <w:r>
        <w:rPr>
          <w:rFonts w:ascii="Times New Roman" w:cs="Times New Roman" w:eastAsia="Times New Roman" w:hAnsi="Times New Roman"/>
          <w:sz w:val="20"/>
          <w:szCs w:val="20"/>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5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Indemnification of Purchasers</w:t>
      </w:r>
      <w:r>
        <w:rPr>
          <w:rFonts w:ascii="Times New Roman" w:cs="Times New Roman" w:eastAsia="Times New Roman" w:hAnsi="Times New Roman"/>
          <w:sz w:val="22"/>
          <w:szCs w:val="22"/>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1" w:name="page122"/>
    <w:bookmarkEnd w:id="121"/>
    <w:p>
      <w:pPr>
        <w:jc w:val="both"/>
        <w:ind w:firstLine="509"/>
        <w:spacing w:after="0" w:line="231" w:lineRule="auto"/>
        <w:rPr>
          <w:sz w:val="20"/>
          <w:szCs w:val="20"/>
          <w:color w:val="auto"/>
        </w:rPr>
      </w:pPr>
      <w:r>
        <w:rPr>
          <w:rFonts w:ascii="Times New Roman" w:cs="Times New Roman" w:eastAsia="Times New Roman" w:hAnsi="Times New Roman"/>
          <w:sz w:val="22"/>
          <w:szCs w:val="22"/>
          <w:color w:val="auto"/>
        </w:rPr>
        <w:t>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22"/>
          <w:szCs w:val="22"/>
          <w:u w:val="single" w:color="auto"/>
          <w:color w:val="auto"/>
        </w:rPr>
        <w:t>Purchaser Party</w:t>
      </w:r>
      <w:r>
        <w:rPr>
          <w:rFonts w:ascii="Times New Roman" w:cs="Times New Roman" w:eastAsia="Times New Roman" w:hAnsi="Times New Roman"/>
          <w:sz w:val="22"/>
          <w:szCs w:val="22"/>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To the extent that a Purchaser Party fails to provide timely notice of a claim for indemnity under this Section 4.8 and such failure materially prejudices the Company’s ability to defend against such claim, the Company shall have no obligation under this Section 4.8 to indemnify the Purchaser Party for the claim (or portion thereof) that was so affected.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such separate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Reservation of Common Stock</w:t>
      </w:r>
      <w:r>
        <w:rPr>
          <w:rFonts w:ascii="Times New Roman" w:cs="Times New Roman" w:eastAsia="Times New Roman" w:hAnsi="Times New Roman"/>
          <w:sz w:val="20"/>
          <w:szCs w:val="20"/>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7004050</wp:posOffset>
            </wp:positionH>
            <wp:positionV relativeFrom="paragraph">
              <wp:posOffset>-55245</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2" w:name="page123"/>
    <w:bookmarkEnd w:id="122"/>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Listing of Common Stock</w:t>
      </w:r>
      <w:r>
        <w:rPr>
          <w:rFonts w:ascii="Times New Roman" w:cs="Times New Roman" w:eastAsia="Times New Roman" w:hAnsi="Times New Roman"/>
          <w:sz w:val="22"/>
          <w:szCs w:val="22"/>
          <w:color w:val="auto"/>
        </w:rPr>
        <w:t>. The Company hereby agrees to use reasonable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hold an annual or special meeting of stockholders on or prior to the date that is ninety (90) days following the Closing Date for the purpose of obtaining Stockholder Approval, with the recommendation of the Board of Directors that such proposals are approved, and the Company shall solicit proxies from its stockholders in connection therewith in the same manner as all other management proposals in such proxy statement and all management appointed proxyholders shall vote their proxies in favor of such proposals. If the Company does not obtain Stockholder Approval at the first meeting, the Company shall call a meeting every ninety (90) days thereafter to seek Stockholder Approval until the earlier of the date on which Stockholder Approval is obtained or the Preferred Investment Options are no longer outstanding.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Subsequent Equity Sales.</w:t>
      </w:r>
    </w:p>
    <w:p>
      <w:pPr>
        <w:spacing w:after="0" w:line="205" w:lineRule="exact"/>
        <w:rPr>
          <w:sz w:val="20"/>
          <w:szCs w:val="20"/>
          <w:color w:val="auto"/>
        </w:rPr>
      </w:pPr>
    </w:p>
    <w:p>
      <w:pPr>
        <w:jc w:val="both"/>
        <w:ind w:left="760" w:firstLine="745"/>
        <w:spacing w:after="0" w:line="238" w:lineRule="auto"/>
        <w:tabs>
          <w:tab w:leader="none" w:pos="204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sixty (60) days following the Effective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as contemplated pursuant to the Registration Rights Agreement.</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58" w:lineRule="auto"/>
        <w:tabs>
          <w:tab w:leader="none" w:pos="204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date hereof until the one (1) year anniversary of the Effective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20"/>
          <w:szCs w:val="20"/>
          <w:u w:val="single" w:color="auto"/>
          <w:color w:val="auto"/>
        </w:rPr>
        <w:t>Variable Rate Transaction</w:t>
      </w:r>
      <w:r>
        <w:rPr>
          <w:rFonts w:ascii="Times New Roman" w:cs="Times New Roman" w:eastAsia="Times New Roman" w:hAnsi="Times New Roman"/>
          <w:sz w:val="20"/>
          <w:szCs w:val="20"/>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w:t>
      </w:r>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3" w:name="page124"/>
    <w:bookmarkEnd w:id="123"/>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Stock or (ii) enters into, or effects a transaction under, any agreement, including, but not limited to, an equity line of credit, whereby the Company may issue securities at a future determined price, regardless of whether shares pursuant to such agreement have actually been issued and regardless of whether such agreement is subsequently canceled; provided, however, that following the expiration of the prohibition period in Section 4.11(a) above, the Company may enter into and effect sales pursuant to an at-the-market offering facility with the Placement Agent. Any Purchaser shall be entitled to obtain injunctive relief against the Company to preclude any such issuance, which remedy shall be in addition to any right to collect damages.</w:t>
      </w:r>
    </w:p>
    <w:p>
      <w:pPr>
        <w:spacing w:after="0" w:line="179" w:lineRule="exact"/>
        <w:rPr>
          <w:sz w:val="20"/>
          <w:szCs w:val="20"/>
          <w:color w:val="auto"/>
        </w:rPr>
      </w:pPr>
    </w:p>
    <w:p>
      <w:pPr>
        <w:jc w:val="both"/>
        <w:ind w:left="760" w:firstLine="745"/>
        <w:spacing w:after="0" w:line="242" w:lineRule="auto"/>
        <w:tabs>
          <w:tab w:leader="none" w:pos="204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this Section 4.11 shall not apply in respect of an Exempt Issuance, including a registration statement for an Exempt Issuance, except that no Variable Rate Transaction shall be an Exempt Issuance other than an Exempt Issuance pursuant to part (d) of the definition of “Exempt Issuance”.</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Equal Treatment of Purchasers</w:t>
      </w:r>
      <w:r>
        <w:rPr>
          <w:rFonts w:ascii="Times New Roman" w:cs="Times New Roman" w:eastAsia="Times New Roman" w:hAnsi="Times New Roman"/>
          <w:sz w:val="22"/>
          <w:szCs w:val="22"/>
          <w:color w:val="auto"/>
        </w:rPr>
        <w:t>. No consideration (including any modification of any Transaction Documents)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Certain Transactions and Confidentiality</w:t>
      </w:r>
      <w:r>
        <w:rPr>
          <w:rFonts w:ascii="Times New Roman" w:cs="Times New Roman" w:eastAsia="Times New Roman" w:hAnsi="Times New Roman"/>
          <w:sz w:val="22"/>
          <w:szCs w:val="22"/>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Transaction Documents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w:t>
      </w: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4" w:name="page125"/>
    <w:bookmarkEnd w:id="124"/>
    <w:p>
      <w:pPr>
        <w:jc w:val="both"/>
        <w:ind w:firstLine="509"/>
        <w:spacing w:after="0" w:line="237" w:lineRule="auto"/>
        <w:rPr>
          <w:sz w:val="20"/>
          <w:szCs w:val="20"/>
          <w:color w:val="auto"/>
        </w:rPr>
      </w:pPr>
      <w:r>
        <w:rPr>
          <w:rFonts w:ascii="Times New Roman" w:cs="Times New Roman" w:eastAsia="Times New Roman" w:hAnsi="Times New Roman"/>
          <w:sz w:val="22"/>
          <w:szCs w:val="22"/>
          <w:color w:val="auto"/>
        </w:rPr>
        <w:t>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Exercise Procedures</w:t>
      </w:r>
      <w:r>
        <w:rPr>
          <w:rFonts w:ascii="Times New Roman" w:cs="Times New Roman" w:eastAsia="Times New Roman" w:hAnsi="Times New Roman"/>
          <w:sz w:val="22"/>
          <w:szCs w:val="22"/>
          <w:color w:val="auto"/>
        </w:rPr>
        <w:t>. The form of Notice of Exercise included in the Warrants and the payment of the exercise price contemplated therein (other than if via cashless exercise)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Form D; Blue Sky Filings</w:t>
      </w:r>
      <w:r>
        <w:rPr>
          <w:rFonts w:ascii="Times New Roman" w:cs="Times New Roman" w:eastAsia="Times New Roman" w:hAnsi="Times New Roman"/>
          <w:sz w:val="22"/>
          <w:szCs w:val="22"/>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by any Purchaser before the Closing,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Trading Day following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termination will affect the right of any party to sue for any breach by any other party (or parties).</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Transaction Documents, together with the exhibits and schedules thereto, contain the entire understanding of the parties with respect to the subject matter hereof</w:t>
      </w:r>
    </w:p>
    <w:p>
      <w:pPr>
        <w:spacing w:after="0" w:line="200" w:lineRule="exact"/>
        <w:rPr>
          <w:sz w:val="20"/>
          <w:szCs w:val="20"/>
          <w:color w:val="auto"/>
        </w:rPr>
      </w:pP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5" w:name="page126"/>
    <w:bookmarkEnd w:id="125"/>
    <w:p>
      <w:pPr>
        <w:jc w:val="both"/>
        <w:ind w:right="20" w:firstLine="509"/>
        <w:spacing w:after="0" w:line="255" w:lineRule="auto"/>
        <w:rPr>
          <w:sz w:val="20"/>
          <w:szCs w:val="20"/>
          <w:color w:val="auto"/>
        </w:rPr>
      </w:pPr>
      <w:r>
        <w:rPr>
          <w:rFonts w:ascii="Times New Roman" w:cs="Times New Roman" w:eastAsia="Times New Roman" w:hAnsi="Times New Roman"/>
          <w:sz w:val="22"/>
          <w:szCs w:val="22"/>
          <w:color w:val="auto"/>
        </w:rPr>
        <w:t>and thereof and supersede all prior agreements and understandings, oral or written, with respect to such matters, which the parties acknowledge have been merged into such documents, exhibits and schedules.</w:t>
      </w:r>
    </w:p>
    <w:p>
      <w:pPr>
        <w:spacing w:after="0" w:line="16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8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each Purchaser and holder of Securities and the Company.</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herein are for convenience only, do not constitute a part of this Agreement and shall not be deemed to limit or affect any of the provisions hereof.</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6" w:name="page127"/>
    <w:bookmarkEnd w:id="126"/>
    <w:p>
      <w:pPr>
        <w:jc w:val="both"/>
        <w:ind w:right="20" w:firstLine="509"/>
        <w:spacing w:after="0" w:line="255" w:lineRule="auto"/>
        <w:rPr>
          <w:sz w:val="20"/>
          <w:szCs w:val="20"/>
          <w:color w:val="auto"/>
        </w:rPr>
      </w:pPr>
      <w:r>
        <w:rPr>
          <w:rFonts w:ascii="Times New Roman" w:cs="Times New Roman" w:eastAsia="Times New Roman" w:hAnsi="Times New Roman"/>
          <w:sz w:val="22"/>
          <w:szCs w:val="22"/>
          <w:color w:val="auto"/>
        </w:rPr>
        <w:t>assigns and is not for the benefit of, nor may any provision hereof be enforced by, any other Person, except as otherwise set forth in Section 4.8 and this Section 5.8.</w:t>
      </w:r>
    </w:p>
    <w:p>
      <w:pPr>
        <w:spacing w:after="0" w:line="16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representations and warranties contained herein shall survive the Closing and the delivery of the Securities.</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w:t>
      </w: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7" w:name="page128"/>
    <w:bookmarkEnd w:id="127"/>
    <w:p>
      <w:pPr>
        <w:jc w:val="both"/>
        <w:ind w:firstLine="509"/>
        <w:spacing w:after="0" w:line="255" w:lineRule="auto"/>
        <w:rPr>
          <w:sz w:val="20"/>
          <w:szCs w:val="20"/>
          <w:color w:val="auto"/>
        </w:rPr>
      </w:pPr>
      <w:r>
        <w:rPr>
          <w:rFonts w:ascii="Times New Roman" w:cs="Times New Roman" w:eastAsia="Times New Roman" w:hAnsi="Times New Roman"/>
          <w:sz w:val="22"/>
          <w:szCs w:val="22"/>
          <w:color w:val="auto"/>
        </w:rPr>
        <w:t>the remaining terms, provisions, covenants and restrictions without including any of such that may be hereafter declared invalid, illegal, void or unenforceable.</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Rescission and Withdrawal Right</w:t>
      </w:r>
      <w:r>
        <w:rPr>
          <w:rFonts w:ascii="Times New Roman" w:cs="Times New Roman" w:eastAsia="Times New Roman" w:hAnsi="Times New Roman"/>
          <w:sz w:val="20"/>
          <w:szCs w:val="20"/>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a rescission of an exercise of a Warrant, the applicable Purchaser shall be required to (i)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 and (ii) rescind the exercise of the Warrant within two (2) Trading Days of delivery of the Warrant Shares related to such exercise.</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Replacement of Securities</w:t>
      </w:r>
      <w:r>
        <w:rPr>
          <w:rFonts w:ascii="Times New Roman" w:cs="Times New Roman" w:eastAsia="Times New Roman" w:hAnsi="Times New Roman"/>
          <w:sz w:val="22"/>
          <w:szCs w:val="22"/>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u w:val="single" w:color="auto"/>
          <w:color w:val="auto"/>
        </w:rPr>
        <w:t>Payment Set Aside</w:t>
      </w:r>
      <w:r>
        <w:rPr>
          <w:rFonts w:ascii="Times New Roman" w:cs="Times New Roman" w:eastAsia="Times New Roman" w:hAnsi="Times New Roman"/>
          <w:sz w:val="22"/>
          <w:szCs w:val="22"/>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u w:val="single" w:color="auto"/>
          <w:color w:val="auto"/>
        </w:rPr>
        <w:t>Independent Nature of Purchasers’ Obligations and Rights</w:t>
      </w:r>
      <w:r>
        <w:rPr>
          <w:rFonts w:ascii="Times New Roman" w:cs="Times New Roman" w:eastAsia="Times New Roman" w:hAnsi="Times New Roman"/>
          <w:sz w:val="22"/>
          <w:szCs w:val="22"/>
          <w:color w:val="auto"/>
        </w:rPr>
        <w:t>. The obligations of each Purchaser under any Transaction Document are several and not joint with the obligations of any</w:t>
      </w:r>
    </w:p>
    <w:p>
      <w:pPr>
        <w:spacing w:after="0" w:line="200" w:lineRule="exact"/>
        <w:rPr>
          <w:sz w:val="20"/>
          <w:szCs w:val="20"/>
          <w:color w:val="auto"/>
        </w:rPr>
      </w:pP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8" w:name="page129"/>
    <w:bookmarkEnd w:id="128"/>
    <w:p>
      <w:pPr>
        <w:jc w:val="both"/>
        <w:ind w:firstLine="509"/>
        <w:spacing w:after="0" w:line="232" w:lineRule="auto"/>
        <w:rPr>
          <w:sz w:val="20"/>
          <w:szCs w:val="20"/>
          <w:color w:val="auto"/>
        </w:rPr>
      </w:pPr>
      <w:r>
        <w:rPr>
          <w:rFonts w:ascii="Times New Roman" w:cs="Times New Roman" w:eastAsia="Times New Roman" w:hAnsi="Times New Roman"/>
          <w:sz w:val="22"/>
          <w:szCs w:val="22"/>
          <w:color w:val="auto"/>
        </w:rPr>
        <w:t>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5.18 </w:t>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 xml:space="preserve">5.19 </w:t>
      </w: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5.20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IN ANY ACTION, SUIT, OR PROCEEDING IN ANY JURISDICTION BROUGHT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BY ANY PARTY AGAINST ANY OTHER PARTY, THE PARTIES EACH KNOWINGLY AND INTENTIONALLY, TO THE GREATEST EXTENT PERMITTED BY APPLICABLE LAW, HEREBY ABSOLUTELY, UNCONDITIONALLY, IRREVOCABLY AND EXPRESSLY WAIVES FOREVER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29" w:name="page130"/>
    <w:bookmarkEnd w:id="129"/>
    <w:p>
      <w:pPr>
        <w:jc w:val="right"/>
        <w:ind w:right="3399"/>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99"/>
          </w:cols>
          <w:pgMar w:left="760" w:top="1401" w:right="1440" w:bottom="1440" w:gutter="0" w:footer="0" w:header="0"/>
        </w:sectPr>
      </w:pPr>
    </w:p>
    <w:bookmarkStart w:id="130" w:name="page131"/>
    <w:bookmarkEnd w:id="130"/>
    <w:p>
      <w:pPr>
        <w:ind w:firstLine="1180"/>
        <w:spacing w:after="0" w:line="255" w:lineRule="auto"/>
        <w:rPr>
          <w:sz w:val="20"/>
          <w:szCs w:val="20"/>
          <w:color w:val="auto"/>
        </w:rPr>
      </w:pPr>
      <w:r>
        <w:rPr>
          <w:rFonts w:ascii="Times New Roman" w:cs="Times New Roman" w:eastAsia="Times New Roman" w:hAnsi="Times New Roman"/>
          <w:sz w:val="22"/>
          <w:szCs w:val="22"/>
          <w:color w:val="auto"/>
        </w:rPr>
        <w:t>IN WITNESS WHEREOF, the parties hereto have caused this Securities Purchase Agreement to be duly executed by their respective authorized signatories as of the date first indicated above.</w:t>
      </w:r>
    </w:p>
    <w:p>
      <w:pPr>
        <w:spacing w:after="0" w:line="382"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6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ARCADIA BIOSCIENCES, INC.</w:t>
            </w: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Address for Notice:</w:t>
            </w:r>
          </w:p>
        </w:tc>
        <w:tc>
          <w:tcPr>
            <w:tcW w:w="1400" w:type="dxa"/>
            <w:vAlign w:val="bottom"/>
          </w:tcPr>
          <w:p>
            <w:pPr>
              <w:spacing w:after="0"/>
              <w:rPr>
                <w:sz w:val="22"/>
                <w:szCs w:val="22"/>
                <w:color w:val="auto"/>
              </w:rPr>
            </w:pPr>
          </w:p>
        </w:tc>
      </w:tr>
      <w:tr>
        <w:trPr>
          <w:trHeight w:val="963"/>
        </w:trPr>
        <w:tc>
          <w:tcPr>
            <w:tcW w:w="6900" w:type="dxa"/>
            <w:vAlign w:val="bottom"/>
          </w:tcPr>
          <w:p>
            <w:pPr>
              <w:spacing w:after="0"/>
              <w:rPr>
                <w:sz w:val="20"/>
                <w:szCs w:val="20"/>
                <w:color w:val="auto"/>
              </w:rPr>
            </w:pPr>
            <w:r>
              <w:rPr>
                <w:rFonts w:ascii="Times New Roman" w:cs="Times New Roman" w:eastAsia="Times New Roman" w:hAnsi="Times New Roman"/>
                <w:sz w:val="22"/>
                <w:szCs w:val="22"/>
                <w:color w:val="auto"/>
              </w:rPr>
              <w:t>By:__________________________________________</w:t>
            </w:r>
          </w:p>
        </w:tc>
        <w:tc>
          <w:tcPr>
            <w:tcW w:w="31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Email: tj.schaefer@arcadiabio.com</w:t>
            </w:r>
          </w:p>
        </w:tc>
      </w:tr>
      <w:tr>
        <w:trPr>
          <w:trHeight w:val="242"/>
        </w:trPr>
        <w:tc>
          <w:tcPr>
            <w:tcW w:w="6900" w:type="dxa"/>
            <w:vAlign w:val="bottom"/>
          </w:tcPr>
          <w:p>
            <w:pPr>
              <w:ind w:left="280"/>
              <w:spacing w:after="0" w:line="242" w:lineRule="exact"/>
              <w:rPr>
                <w:sz w:val="20"/>
                <w:szCs w:val="20"/>
                <w:color w:val="auto"/>
              </w:rPr>
            </w:pPr>
            <w:r>
              <w:rPr>
                <w:rFonts w:ascii="Times New Roman" w:cs="Times New Roman" w:eastAsia="Times New Roman" w:hAnsi="Times New Roman"/>
                <w:sz w:val="22"/>
                <w:szCs w:val="22"/>
                <w:color w:val="auto"/>
              </w:rPr>
              <w:t>Name: Thomas J. Schaefer</w:t>
            </w:r>
          </w:p>
        </w:tc>
        <w:tc>
          <w:tcPr>
            <w:tcW w:w="3100" w:type="dxa"/>
            <w:vAlign w:val="bottom"/>
            <w:gridSpan w:val="2"/>
          </w:tcPr>
          <w:p>
            <w:pPr>
              <w:spacing w:after="0" w:line="242" w:lineRule="exact"/>
              <w:rPr>
                <w:sz w:val="20"/>
                <w:szCs w:val="20"/>
                <w:color w:val="auto"/>
              </w:rPr>
            </w:pPr>
            <w:r>
              <w:rPr>
                <w:rFonts w:ascii="Times New Roman" w:cs="Times New Roman" w:eastAsia="Times New Roman" w:hAnsi="Times New Roman"/>
                <w:sz w:val="22"/>
                <w:szCs w:val="22"/>
                <w:color w:val="auto"/>
              </w:rPr>
              <w:t>Fax:</w:t>
            </w:r>
          </w:p>
        </w:tc>
      </w:tr>
      <w:tr>
        <w:trPr>
          <w:trHeight w:val="280"/>
        </w:trPr>
        <w:tc>
          <w:tcPr>
            <w:tcW w:w="6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85"/>
        </w:trPr>
        <w:tc>
          <w:tcPr>
            <w:tcW w:w="6900" w:type="dxa"/>
            <w:vAlign w:val="bottom"/>
          </w:tcPr>
          <w:p>
            <w:pPr>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FOR PURCHASER FOLLOWS]</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05" w:right="35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22"/>
          <w:szCs w:val="22"/>
          <w:color w:val="auto"/>
        </w:rPr>
        <w:t>[PURCHASER SIGNATURE PAGES TO RKDA SECURITIES PURCHASE AGREEMENT]</w:t>
      </w:r>
    </w:p>
    <w:p>
      <w:pPr>
        <w:spacing w:after="0" w:line="23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2"/>
          <w:szCs w:val="22"/>
          <w:color w:val="auto"/>
        </w:rPr>
        <w:t>IN WITNESS WHEREOF, the undersigned have caused this Securities Purchase Agreement to be duly executed by their respective authorized signatories as of the date first indicated above.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Purchaser: ________________________________________________________</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Purchaser</w:t>
      </w:r>
      <w:r>
        <w:rPr>
          <w:rFonts w:ascii="Times New Roman" w:cs="Times New Roman" w:eastAsia="Times New Roman" w:hAnsi="Times New Roman"/>
          <w:sz w:val="22"/>
          <w:szCs w:val="22"/>
          <w:color w:val="auto"/>
        </w:rPr>
        <w:t>: __________________________________</w:t>
      </w:r>
    </w:p>
    <w:p>
      <w:pPr>
        <w:spacing w:after="0" w:line="229" w:lineRule="auto"/>
        <w:rPr>
          <w:sz w:val="20"/>
          <w:szCs w:val="20"/>
          <w:color w:val="auto"/>
        </w:rPr>
      </w:pPr>
      <w:r>
        <w:rPr>
          <w:rFonts w:ascii="Times New Roman" w:cs="Times New Roman" w:eastAsia="Times New Roman" w:hAnsi="Times New Roman"/>
          <w:sz w:val="22"/>
          <w:szCs w:val="22"/>
          <w:color w:val="auto"/>
        </w:rPr>
        <w:t>Name of Authorized Signatory: ____________________________________________________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Title of Authorized Signatory: _____________________________________________________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Email Address of Authorized Signatory: ______________________________________________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Delivery of Securities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Subscription Amount: $_________________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_________________</w:t>
      </w:r>
    </w:p>
    <w:p>
      <w:pPr>
        <w:sectPr>
          <w:pgSz w:w="11900" w:h="16838" w:orient="portrait"/>
          <w:cols w:equalWidth="0" w:num="1">
            <w:col w:w="11240"/>
          </w:cols>
          <w:pgMar w:left="320" w:top="1405" w:right="339" w:bottom="1440" w:gutter="0" w:footer="0" w:header="0"/>
        </w:sect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Pre-Funded Warrant Shares: _____</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Beneficial Ownership Blocker </w:t>
      </w:r>
      <w:r>
        <w:rPr>
          <w:rFonts w:ascii="Wingdings" w:cs="Wingdings" w:eastAsia="Wingdings" w:hAnsi="Wingdings"/>
          <w:sz w:val="20"/>
          <w:szCs w:val="20"/>
          <w:b w:val="1"/>
          <w:bCs w:val="1"/>
          <w:color w:val="auto"/>
        </w:rPr>
        <w:t></w:t>
      </w:r>
      <w:r>
        <w:rPr>
          <w:rFonts w:ascii="Times New Roman" w:cs="Times New Roman" w:eastAsia="Times New Roman" w:hAnsi="Times New Roman"/>
          <w:sz w:val="20"/>
          <w:szCs w:val="20"/>
          <w:color w:val="auto"/>
        </w:rPr>
        <w:t xml:space="preserve"> 4.99% or </w:t>
      </w:r>
      <w:r>
        <w:rPr>
          <w:rFonts w:ascii="Wingdings" w:cs="Wingdings" w:eastAsia="Wingdings" w:hAnsi="Wingdings"/>
          <w:sz w:val="20"/>
          <w:szCs w:val="20"/>
          <w:b w:val="1"/>
          <w:bCs w:val="1"/>
          <w:color w:val="auto"/>
        </w:rPr>
        <w:t></w:t>
      </w:r>
      <w:r>
        <w:rPr>
          <w:rFonts w:ascii="Times New Roman" w:cs="Times New Roman" w:eastAsia="Times New Roman" w:hAnsi="Times New Roman"/>
          <w:sz w:val="20"/>
          <w:szCs w:val="20"/>
          <w:color w:val="auto"/>
        </w:rPr>
        <w:t xml:space="preserve"> 9.99%</w:t>
      </w:r>
    </w:p>
    <w:p>
      <w:pPr>
        <w:spacing w:after="0" w:line="200" w:lineRule="exact"/>
        <w:rPr>
          <w:sz w:val="20"/>
          <w:szCs w:val="20"/>
          <w:color w:val="auto"/>
        </w:rPr>
      </w:pPr>
    </w:p>
    <w:p>
      <w:pPr>
        <w:sectPr>
          <w:pgSz w:w="11900" w:h="16838" w:orient="portrait"/>
          <w:cols w:equalWidth="0" w:num="2">
            <w:col w:w="3060" w:space="380"/>
            <w:col w:w="7800"/>
          </w:cols>
          <w:pgMar w:left="320" w:top="1405"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Preferred Investment Options: ____</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Beneficial Ownership Blocker </w:t>
      </w:r>
      <w:r>
        <w:rPr>
          <w:rFonts w:ascii="Wingdings" w:cs="Wingdings" w:eastAsia="Wingdings" w:hAnsi="Wingdings"/>
          <w:sz w:val="20"/>
          <w:szCs w:val="20"/>
          <w:b w:val="1"/>
          <w:bCs w:val="1"/>
          <w:color w:val="auto"/>
        </w:rPr>
        <w:t></w:t>
      </w:r>
      <w:r>
        <w:rPr>
          <w:rFonts w:ascii="Times New Roman" w:cs="Times New Roman" w:eastAsia="Times New Roman" w:hAnsi="Times New Roman"/>
          <w:sz w:val="20"/>
          <w:szCs w:val="20"/>
          <w:color w:val="auto"/>
        </w:rPr>
        <w:t xml:space="preserve"> 4.99% or </w:t>
      </w:r>
      <w:r>
        <w:rPr>
          <w:rFonts w:ascii="Wingdings" w:cs="Wingdings" w:eastAsia="Wingdings" w:hAnsi="Wingdings"/>
          <w:sz w:val="20"/>
          <w:szCs w:val="20"/>
          <w:b w:val="1"/>
          <w:bCs w:val="1"/>
          <w:color w:val="auto"/>
        </w:rPr>
        <w:t></w:t>
      </w:r>
      <w:r>
        <w:rPr>
          <w:rFonts w:ascii="Times New Roman" w:cs="Times New Roman" w:eastAsia="Times New Roman" w:hAnsi="Times New Roman"/>
          <w:sz w:val="20"/>
          <w:szCs w:val="20"/>
          <w:color w:val="auto"/>
        </w:rPr>
        <w:t xml:space="preserve"> 9.99%</w:t>
      </w:r>
    </w:p>
    <w:p>
      <w:pPr>
        <w:spacing w:after="0" w:line="200" w:lineRule="exact"/>
        <w:rPr>
          <w:sz w:val="20"/>
          <w:szCs w:val="20"/>
          <w:color w:val="auto"/>
        </w:rPr>
      </w:pPr>
    </w:p>
    <w:p>
      <w:pPr>
        <w:sectPr>
          <w:pgSz w:w="11900" w:h="16838" w:orient="portrait"/>
          <w:cols w:equalWidth="0" w:num="2">
            <w:col w:w="3100" w:space="360"/>
            <w:col w:w="7780"/>
          </w:cols>
          <w:pgMar w:left="320" w:top="1405" w:right="339" w:bottom="1440" w:gutter="0" w:footer="0" w:header="0"/>
          <w:type w:val="continuous"/>
        </w:sect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EIN Number: _______________________</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36" w:lineRule="exact"/>
        <w:rPr>
          <w:sz w:val="20"/>
          <w:szCs w:val="20"/>
          <w:color w:val="auto"/>
        </w:rPr>
      </w:pPr>
    </w:p>
    <w:p>
      <w:pPr>
        <w:jc w:val="both"/>
        <w:ind w:firstLine="431"/>
        <w:spacing w:after="0" w:line="242" w:lineRule="auto"/>
        <w:rPr>
          <w:sz w:val="20"/>
          <w:szCs w:val="20"/>
          <w:color w:val="auto"/>
        </w:rPr>
      </w:pPr>
      <w:r>
        <w:rPr>
          <w:rFonts w:ascii="Times New Roman" w:cs="Times New Roman" w:eastAsia="Times New Roman" w:hAnsi="Times New Roman"/>
          <w:sz w:val="22"/>
          <w:szCs w:val="22"/>
          <w:color w:val="auto"/>
        </w:rPr>
        <w:t xml:space="preserve">This Registration Rights Agreement (this “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June 11, 2026, between Arcadia Biosciences,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of the several purchasers signatory hereto (each such purchaser, a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Purchasers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right="20" w:firstLine="1136"/>
        <w:spacing w:after="0" w:line="255" w:lineRule="auto"/>
        <w:rPr>
          <w:sz w:val="20"/>
          <w:szCs w:val="20"/>
          <w:color w:val="auto"/>
        </w:rPr>
      </w:pPr>
      <w:r>
        <w:rPr>
          <w:rFonts w:ascii="Times New Roman" w:cs="Times New Roman" w:eastAsia="Times New Roman" w:hAnsi="Times New Roman"/>
          <w:sz w:val="22"/>
          <w:szCs w:val="22"/>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The Company and each Purchaser hereby agrees as follows:</w:t>
      </w:r>
    </w:p>
    <w:p>
      <w:pPr>
        <w:spacing w:after="0" w:line="232" w:lineRule="exact"/>
        <w:rPr>
          <w:sz w:val="20"/>
          <w:szCs w:val="20"/>
          <w:color w:val="auto"/>
        </w:rPr>
      </w:pPr>
    </w:p>
    <w:p>
      <w:pPr>
        <w:ind w:left="860" w:hanging="421"/>
        <w:spacing w:after="0"/>
        <w:tabs>
          <w:tab w:leader="none" w:pos="8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28" w:lineRule="exact"/>
        <w:rPr>
          <w:sz w:val="20"/>
          <w:szCs w:val="20"/>
          <w:color w:val="auto"/>
        </w:rPr>
      </w:pPr>
    </w:p>
    <w:p>
      <w:pPr>
        <w:jc w:val="both"/>
        <w:ind w:right="20" w:firstLine="902"/>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22"/>
          <w:szCs w:val="22"/>
          <w:color w:val="auto"/>
        </w:rPr>
        <w:t>As used in this Agreement, the following terms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meanings:</w:t>
      </w:r>
    </w:p>
    <w:p>
      <w:pPr>
        <w:spacing w:after="0" w:line="20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Advice</w:t>
      </w:r>
      <w:r>
        <w:rPr>
          <w:rFonts w:ascii="Times New Roman" w:cs="Times New Roman" w:eastAsia="Times New Roman" w:hAnsi="Times New Roman"/>
          <w:sz w:val="22"/>
          <w:szCs w:val="22"/>
          <w:color w:val="auto"/>
        </w:rPr>
        <w:t>” shall have the meaning set forth in Section 6(c).</w:t>
      </w:r>
    </w:p>
    <w:p>
      <w:pPr>
        <w:spacing w:after="0" w:line="232" w:lineRule="exact"/>
        <w:rPr>
          <w:sz w:val="20"/>
          <w:szCs w:val="20"/>
          <w:color w:val="auto"/>
        </w:rPr>
      </w:pPr>
    </w:p>
    <w:p>
      <w:pPr>
        <w:jc w:val="both"/>
        <w:ind w:left="760" w:firstLine="749"/>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Effectiveness Date</w:t>
      </w:r>
      <w:r>
        <w:rPr>
          <w:rFonts w:ascii="Times New Roman" w:cs="Times New Roman" w:eastAsia="Times New Roman" w:hAnsi="Times New Roman"/>
          <w:sz w:val="22"/>
          <w:szCs w:val="22"/>
          <w:color w:val="auto"/>
        </w:rPr>
        <w:t>” means, with respect to the Initial Registration Statement required to be filed hereunder,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date hereof (or, in the event of a “full review” by the Commission,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date hereof) and with respect to any additional Registration Statements which may be required pursuant to Section 2(c) or Section 3(c),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date on which an additional Registration Statement is required to be filed hereunder (or, in the event of a “full review” by the Commission,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date such additional Registration Statement is required to be filed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Effectiveness Period</w:t>
      </w:r>
      <w:r>
        <w:rPr>
          <w:rFonts w:ascii="Times New Roman" w:cs="Times New Roman" w:eastAsia="Times New Roman" w:hAnsi="Times New Roman"/>
          <w:sz w:val="22"/>
          <w:szCs w:val="22"/>
          <w:color w:val="auto"/>
        </w:rPr>
        <w:t>” shall have the meaning set forth in Section 2(a).</w:t>
      </w:r>
    </w:p>
    <w:p>
      <w:pPr>
        <w:spacing w:after="0" w:line="23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shall have the meaning set forth in Section 2(d).</w:t>
      </w:r>
    </w:p>
    <w:p>
      <w:pPr>
        <w:spacing w:after="0" w:line="23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Date</w:t>
      </w:r>
      <w:r>
        <w:rPr>
          <w:rFonts w:ascii="Times New Roman" w:cs="Times New Roman" w:eastAsia="Times New Roman" w:hAnsi="Times New Roman"/>
          <w:sz w:val="22"/>
          <w:szCs w:val="22"/>
          <w:color w:val="auto"/>
        </w:rPr>
        <w:t>” shall have the meaning set forth in Section 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3" w:name="page134"/>
    <w:bookmarkEnd w:id="133"/>
    <w:p>
      <w:pPr>
        <w:jc w:val="both"/>
        <w:ind w:left="320" w:firstLine="749"/>
        <w:spacing w:after="0" w:line="22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Filing Date</w:t>
      </w:r>
      <w:r>
        <w:rPr>
          <w:rFonts w:ascii="Times New Roman" w:cs="Times New Roman" w:eastAsia="Times New Roman" w:hAnsi="Times New Roman"/>
          <w:sz w:val="22"/>
          <w:szCs w:val="22"/>
          <w:color w:val="auto"/>
        </w:rPr>
        <w:t>” means, with respect to the Initial Registration Statement required hereunder,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208" w:lineRule="exact"/>
        <w:rPr>
          <w:sz w:val="20"/>
          <w:szCs w:val="20"/>
          <w:color w:val="auto"/>
        </w:rPr>
      </w:pPr>
    </w:p>
    <w:p>
      <w:pPr>
        <w:jc w:val="both"/>
        <w:ind w:left="320"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means the holder or holders, as the case may be, from time to time of Registrable Securities.</w:t>
      </w:r>
    </w:p>
    <w:p>
      <w:pPr>
        <w:spacing w:after="0" w:line="19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shall have the meaning set forth in Section 5(c).</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shall have the meaning set forth in Section 5(c).</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Registration Statement</w:t>
      </w:r>
      <w:r>
        <w:rPr>
          <w:rFonts w:ascii="Times New Roman" w:cs="Times New Roman" w:eastAsia="Times New Roman" w:hAnsi="Times New Roman"/>
          <w:sz w:val="22"/>
          <w:szCs w:val="22"/>
          <w:color w:val="auto"/>
        </w:rPr>
        <w:t>” means the initial Registration Statement filed pursuant to this Agreement.</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shall have the meaning set forth in Section 5(a).</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of Distribution</w:t>
      </w:r>
      <w:r>
        <w:rPr>
          <w:rFonts w:ascii="Times New Roman" w:cs="Times New Roman" w:eastAsia="Times New Roman" w:hAnsi="Times New Roman"/>
          <w:sz w:val="22"/>
          <w:szCs w:val="22"/>
          <w:color w:val="auto"/>
        </w:rPr>
        <w:t>” shall have the meaning set forth in Section 2(a).</w:t>
      </w:r>
    </w:p>
    <w:p>
      <w:pPr>
        <w:spacing w:after="0" w:line="232" w:lineRule="exact"/>
        <w:rPr>
          <w:sz w:val="20"/>
          <w:szCs w:val="20"/>
          <w:color w:val="auto"/>
        </w:rPr>
      </w:pPr>
    </w:p>
    <w:p>
      <w:pPr>
        <w:jc w:val="both"/>
        <w:ind w:left="3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205" w:lineRule="exact"/>
        <w:rPr>
          <w:sz w:val="20"/>
          <w:szCs w:val="20"/>
          <w:color w:val="auto"/>
        </w:rPr>
      </w:pPr>
    </w:p>
    <w:p>
      <w:pPr>
        <w:jc w:val="both"/>
        <w:ind w:left="320"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means, as of any date of determination, (a) all Shares, (b) all Warrant Shares then issued and issuable upon exercise of the Warrants (assuming on such date the Warrants are exercised in full without regard to any exercise limitations therein), and (c) any securities issued or then issuable upon any stock split, dividend or other distribution, recapitalization or similar event with respect to the foregoing; provided, however,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18" w:right="339" w:bottom="1440" w:gutter="0" w:footer="0" w:header="0"/>
        </w:sectPr>
      </w:pPr>
    </w:p>
    <w:bookmarkStart w:id="134" w:name="page135"/>
    <w:bookmarkEnd w:id="134"/>
    <w:p>
      <w:pPr>
        <w:jc w:val="both"/>
        <w:ind w:left="321"/>
        <w:spacing w:after="0" w:line="237" w:lineRule="auto"/>
        <w:rPr>
          <w:sz w:val="20"/>
          <w:szCs w:val="20"/>
          <w:color w:val="auto"/>
        </w:rPr>
      </w:pPr>
      <w:r>
        <w:rPr>
          <w:rFonts w:ascii="Times New Roman" w:cs="Times New Roman" w:eastAsia="Times New Roman" w:hAnsi="Times New Roman"/>
          <w:sz w:val="22"/>
          <w:szCs w:val="22"/>
          <w:color w:val="auto"/>
        </w:rPr>
        <w:t>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 and that all Warrants are exercised by “cashless exercise” as provided in Section 2(c) of the Warrants.</w:t>
      </w:r>
    </w:p>
    <w:p>
      <w:pPr>
        <w:spacing w:after="0" w:line="205" w:lineRule="exact"/>
        <w:rPr>
          <w:sz w:val="20"/>
          <w:szCs w:val="20"/>
          <w:color w:val="auto"/>
        </w:rPr>
      </w:pPr>
    </w:p>
    <w:p>
      <w:pPr>
        <w:jc w:val="both"/>
        <w:ind w:left="321"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205" w:lineRule="exact"/>
        <w:rPr>
          <w:sz w:val="20"/>
          <w:szCs w:val="20"/>
          <w:color w:val="auto"/>
        </w:rPr>
      </w:pPr>
    </w:p>
    <w:p>
      <w:pPr>
        <w:jc w:val="both"/>
        <w:ind w:left="321" w:firstLine="803"/>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415</w:t>
      </w:r>
      <w:r>
        <w:rPr>
          <w:rFonts w:ascii="Times New Roman" w:cs="Times New Roman" w:eastAsia="Times New Roman" w:hAnsi="Times New Roman"/>
          <w:sz w:val="22"/>
          <w:szCs w:val="22"/>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204" w:lineRule="exact"/>
        <w:rPr>
          <w:sz w:val="20"/>
          <w:szCs w:val="20"/>
          <w:color w:val="auto"/>
        </w:rPr>
      </w:pPr>
    </w:p>
    <w:p>
      <w:pPr>
        <w:jc w:val="both"/>
        <w:ind w:left="321"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424</w:t>
      </w:r>
      <w:r>
        <w:rPr>
          <w:rFonts w:ascii="Times New Roman" w:cs="Times New Roman" w:eastAsia="Times New Roman" w:hAnsi="Times New Roman"/>
          <w:sz w:val="22"/>
          <w:szCs w:val="22"/>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204" w:lineRule="exact"/>
        <w:rPr>
          <w:sz w:val="20"/>
          <w:szCs w:val="20"/>
          <w:color w:val="auto"/>
        </w:rPr>
      </w:pPr>
    </w:p>
    <w:p>
      <w:pPr>
        <w:ind w:left="106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Selling Stockholder Questionnaire</w:t>
      </w:r>
      <w:r>
        <w:rPr>
          <w:rFonts w:ascii="Times New Roman" w:cs="Times New Roman" w:eastAsia="Times New Roman" w:hAnsi="Times New Roman"/>
          <w:sz w:val="22"/>
          <w:szCs w:val="22"/>
          <w:color w:val="auto"/>
        </w:rPr>
        <w:t>” shall have the meaning set forth in Section 3(a).</w:t>
      </w:r>
    </w:p>
    <w:p>
      <w:pPr>
        <w:spacing w:after="0" w:line="232" w:lineRule="exact"/>
        <w:rPr>
          <w:sz w:val="20"/>
          <w:szCs w:val="20"/>
          <w:color w:val="auto"/>
        </w:rPr>
      </w:pPr>
    </w:p>
    <w:p>
      <w:pPr>
        <w:jc w:val="both"/>
        <w:ind w:left="321" w:firstLine="749"/>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Guidance</w:t>
      </w:r>
      <w:r>
        <w:rPr>
          <w:rFonts w:ascii="Times New Roman" w:cs="Times New Roman" w:eastAsia="Times New Roman" w:hAnsi="Times New Roman"/>
          <w:sz w:val="22"/>
          <w:szCs w:val="22"/>
          <w:color w:val="auto"/>
        </w:rPr>
        <w:t>” means (i) any publicly-available written or oral guidance of the Commission staff, or any comments, requirements or requests of the Commission staff and (ii) the Securities Act.</w:t>
      </w:r>
    </w:p>
    <w:p>
      <w:pPr>
        <w:spacing w:after="0" w:line="190" w:lineRule="exact"/>
        <w:rPr>
          <w:sz w:val="20"/>
          <w:szCs w:val="20"/>
          <w:color w:val="auto"/>
        </w:rPr>
      </w:pPr>
    </w:p>
    <w:p>
      <w:pPr>
        <w:ind w:left="421" w:hanging="421"/>
        <w:spacing w:after="0"/>
        <w:tabs>
          <w:tab w:leader="none" w:pos="42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w:t>
      </w:r>
    </w:p>
    <w:p>
      <w:pPr>
        <w:spacing w:after="0" w:line="231" w:lineRule="exact"/>
        <w:rPr>
          <w:rFonts w:ascii="Times New Roman" w:cs="Times New Roman" w:eastAsia="Times New Roman" w:hAnsi="Times New Roman"/>
          <w:sz w:val="22"/>
          <w:szCs w:val="22"/>
          <w:color w:val="auto"/>
        </w:rPr>
      </w:pPr>
    </w:p>
    <w:p>
      <w:pPr>
        <w:jc w:val="both"/>
        <w:ind w:left="321" w:firstLine="745"/>
        <w:spacing w:after="0" w:line="234" w:lineRule="auto"/>
        <w:tabs>
          <w:tab w:leader="none" w:pos="160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22"/>
          <w:szCs w:val="22"/>
          <w:u w:val="single" w:color="auto"/>
          <w:color w:val="auto"/>
        </w:rPr>
        <w:t>Plan of Distribution</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substantially the “</w:t>
      </w:r>
      <w:r>
        <w:rPr>
          <w:rFonts w:ascii="Times New Roman" w:cs="Times New Roman" w:eastAsia="Times New Roman" w:hAnsi="Times New Roman"/>
          <w:sz w:val="22"/>
          <w:szCs w:val="22"/>
          <w:u w:val="single" w:color="auto"/>
          <w:color w:val="auto"/>
        </w:rPr>
        <w:t>Selling Stockholder</w:t>
      </w:r>
      <w:r>
        <w:rPr>
          <w:rFonts w:ascii="Times New Roman" w:cs="Times New Roman" w:eastAsia="Times New Roman" w:hAnsi="Times New Roman"/>
          <w:sz w:val="22"/>
          <w:szCs w:val="22"/>
          <w:color w:val="auto"/>
        </w:rPr>
        <w:t xml:space="preserve">” section attached hereto as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w:t>
      </w:r>
    </w:p>
    <w:p>
      <w:pPr>
        <w:spacing w:after="0" w:line="3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476885</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1"/>
          </w:cols>
          <w:pgMar w:left="759" w:top="1405" w:right="339" w:bottom="1440" w:gutter="0" w:footer="0" w:header="0"/>
        </w:sectPr>
      </w:pPr>
    </w:p>
    <w:bookmarkStart w:id="135" w:name="page136"/>
    <w:bookmarkEnd w:id="135"/>
    <w:p>
      <w:pPr>
        <w:jc w:val="both"/>
        <w:ind w:left="320"/>
        <w:spacing w:after="0" w:line="231" w:lineRule="auto"/>
        <w:rPr>
          <w:sz w:val="20"/>
          <w:szCs w:val="20"/>
          <w:color w:val="auto"/>
        </w:rPr>
      </w:pPr>
      <w:r>
        <w:rPr>
          <w:rFonts w:ascii="Times New Roman" w:cs="Times New Roman" w:eastAsia="Times New Roman" w:hAnsi="Times New Roman"/>
          <w:sz w:val="22"/>
          <w:szCs w:val="22"/>
          <w:color w:val="auto"/>
        </w:rPr>
        <w:t>Holder shall be required to be named as an “underwriter” without such Holder’s express prior written consent, which shall not be unreasonably withheld if the SEC reviews the Registration Statement and requires that the Holder be named as underwriters.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earliest date that all Registrable Securities covered by such Registration Statement (i) have been sold, thereunder or pursuant to Rule 144, or (ii) may be sold by non-Affiliates of the Company without volume or manner-of-sale restrictions pursuant to Rule 144 and without the requirement for the Company to be in compliance with the current public information requirement under Rule 144 (and with respect to Warrant Shares, assuming the Warrants are exercised by “cashless exercise” as provided in Section 2(c) of the Warrants),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22"/>
          <w:szCs w:val="22"/>
          <w:u w:val="single" w:color="auto"/>
          <w:color w:val="auto"/>
        </w:rPr>
        <w:t>Effectiveness Period</w:t>
      </w:r>
      <w:r>
        <w:rPr>
          <w:rFonts w:ascii="Times New Roman" w:cs="Times New Roman" w:eastAsia="Times New Roman" w:hAnsi="Times New Roman"/>
          <w:sz w:val="22"/>
          <w:szCs w:val="22"/>
          <w:color w:val="auto"/>
        </w:rPr>
        <w:t>”). The Company shall telephonically request effectiveness of a Registration Statement as of 5:00 p.m. (New York City time) on a Trading Day. The Company shall promptly notify the Holders via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spacing w:after="0" w:line="221" w:lineRule="exact"/>
        <w:rPr>
          <w:sz w:val="20"/>
          <w:szCs w:val="20"/>
          <w:color w:val="auto"/>
        </w:rPr>
      </w:pPr>
    </w:p>
    <w:p>
      <w:pPr>
        <w:jc w:val="both"/>
        <w:ind w:left="320" w:firstLine="745"/>
        <w:spacing w:after="0" w:line="233" w:lineRule="auto"/>
        <w:tabs>
          <w:tab w:leader="none" w:pos="169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36" w:name="page137"/>
    <w:bookmarkEnd w:id="136"/>
    <w:p>
      <w:pPr>
        <w:spacing w:after="0" w:line="208" w:lineRule="exact"/>
        <w:rPr>
          <w:sz w:val="20"/>
          <w:szCs w:val="20"/>
          <w:color w:val="auto"/>
        </w:rPr>
      </w:pPr>
    </w:p>
    <w:p>
      <w:pPr>
        <w:jc w:val="both"/>
        <w:ind w:left="320" w:firstLine="745"/>
        <w:spacing w:after="0" w:line="263" w:lineRule="auto"/>
        <w:tabs>
          <w:tab w:leader="none" w:pos="160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4" w:lineRule="exact"/>
        <w:rPr>
          <w:rFonts w:ascii="Times New Roman" w:cs="Times New Roman" w:eastAsia="Times New Roman" w:hAnsi="Times New Roman"/>
          <w:sz w:val="20"/>
          <w:szCs w:val="20"/>
          <w:color w:val="auto"/>
        </w:rPr>
      </w:pPr>
    </w:p>
    <w:p>
      <w:pPr>
        <w:ind w:left="1060" w:hanging="369"/>
        <w:spacing w:after="0"/>
        <w:tabs>
          <w:tab w:leader="none" w:pos="10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the Company shall reduce or eliminate any securities to be included other than Registrable Securities;</w:t>
      </w:r>
    </w:p>
    <w:p>
      <w:pPr>
        <w:spacing w:after="0" w:line="231" w:lineRule="exact"/>
        <w:rPr>
          <w:rFonts w:ascii="Times New Roman" w:cs="Times New Roman" w:eastAsia="Times New Roman" w:hAnsi="Times New Roman"/>
          <w:sz w:val="22"/>
          <w:szCs w:val="22"/>
          <w:color w:val="auto"/>
        </w:rPr>
      </w:pPr>
    </w:p>
    <w:p>
      <w:pPr>
        <w:jc w:val="both"/>
        <w:ind w:left="1060" w:hanging="369"/>
        <w:spacing w:after="0" w:line="238" w:lineRule="auto"/>
        <w:tabs>
          <w:tab w:leader="none" w:pos="10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Company shall reduce Registrable Securities represented by Preferred Investment Option Shares (applied, in the case that some Preferred Investment Option Shares may be registered, to the Holders on a pro rata basis based on the total number of unregistered Preferred Investment Option Shares held by such Holders); and</w:t>
      </w:r>
    </w:p>
    <w:p>
      <w:pPr>
        <w:spacing w:after="0" w:line="208" w:lineRule="exact"/>
        <w:rPr>
          <w:rFonts w:ascii="Times New Roman" w:cs="Times New Roman" w:eastAsia="Times New Roman" w:hAnsi="Times New Roman"/>
          <w:sz w:val="22"/>
          <w:szCs w:val="22"/>
          <w:color w:val="auto"/>
        </w:rPr>
      </w:pPr>
    </w:p>
    <w:p>
      <w:pPr>
        <w:jc w:val="both"/>
        <w:ind w:left="1060" w:hanging="369"/>
        <w:spacing w:after="0" w:line="242" w:lineRule="auto"/>
        <w:tabs>
          <w:tab w:leader="none" w:pos="10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the Company shall reduce Registrable Securities represented by Shares and Pre-Funded Warrants (applied, in the case that some Shares and Pre-Funded Warrants may be registered, to the Holders on a pro rata basis based on the total number of unregistered Shares and Pre-Funded Warrants held by such Holders).</w:t>
      </w:r>
    </w:p>
    <w:p>
      <w:pPr>
        <w:spacing w:after="0" w:line="204" w:lineRule="exact"/>
        <w:rPr>
          <w:sz w:val="20"/>
          <w:szCs w:val="20"/>
          <w:color w:val="auto"/>
        </w:rPr>
      </w:pPr>
    </w:p>
    <w:p>
      <w:pPr>
        <w:jc w:val="both"/>
        <w:ind w:left="320"/>
        <w:spacing w:after="0" w:line="235" w:lineRule="auto"/>
        <w:rPr>
          <w:sz w:val="20"/>
          <w:szCs w:val="20"/>
          <w:color w:val="auto"/>
        </w:rPr>
      </w:pPr>
      <w:r>
        <w:rPr>
          <w:rFonts w:ascii="Times New Roman" w:cs="Times New Roman" w:eastAsia="Times New Roman" w:hAnsi="Times New Roman"/>
          <w:sz w:val="22"/>
          <w:szCs w:val="22"/>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211" w:lineRule="exact"/>
        <w:rPr>
          <w:sz w:val="20"/>
          <w:szCs w:val="20"/>
          <w:color w:val="auto"/>
        </w:rPr>
      </w:pPr>
    </w:p>
    <w:p>
      <w:pPr>
        <w:jc w:val="both"/>
        <w:ind w:left="320" w:firstLine="745"/>
        <w:spacing w:after="0" w:line="235" w:lineRule="auto"/>
        <w:tabs>
          <w:tab w:leader="none" w:pos="160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the Initial Registration Statement is not filed on or prior to its Filing Date (if the Company files the Initial Registration Statement without affording the Holders the opportunity to review and comment on the same as required by Section 3(a) herein or the Company subsequent withdraws the filing of the Registration Statement, the Company shall be deemed to have not satisfied this clause (i)),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37" w:name="page138"/>
    <w:bookmarkEnd w:id="137"/>
    <w:p>
      <w:pPr>
        <w:jc w:val="both"/>
        <w:ind w:left="320"/>
        <w:spacing w:after="0" w:line="254" w:lineRule="auto"/>
        <w:rPr>
          <w:sz w:val="20"/>
          <w:szCs w:val="20"/>
          <w:color w:val="auto"/>
        </w:rPr>
      </w:pPr>
      <w:r>
        <w:rPr>
          <w:rFonts w:ascii="Times New Roman" w:cs="Times New Roman" w:eastAsia="Times New Roman" w:hAnsi="Times New Roman"/>
          <w:sz w:val="20"/>
          <w:szCs w:val="20"/>
          <w:color w:val="auto"/>
        </w:rPr>
        <w:t>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(provided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during the Effectiveness Period as to all Registrable Securities included in such Registration Statement, or the Holders are otherwise not permitted to utilize the Prospectus therein to resell such Registrable Securities during the Effectiveness Period,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20"/>
          <w:szCs w:val="20"/>
          <w:u w:val="single" w:color="auto"/>
          <w:color w:val="auto"/>
        </w:rPr>
        <w:t>Event</w:t>
      </w:r>
      <w:r>
        <w:rPr>
          <w:rFonts w:ascii="Times New Roman" w:cs="Times New Roman" w:eastAsia="Times New Roman" w:hAnsi="Times New Roman"/>
          <w:sz w:val="20"/>
          <w:szCs w:val="20"/>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20"/>
          <w:szCs w:val="20"/>
          <w:u w:val="single" w:color="auto"/>
          <w:color w:val="auto"/>
        </w:rPr>
        <w:t>Event Date</w:t>
      </w:r>
      <w:r>
        <w:rPr>
          <w:rFonts w:ascii="Times New Roman" w:cs="Times New Roman" w:eastAsia="Times New Roman" w:hAnsi="Times New Roman"/>
          <w:sz w:val="20"/>
          <w:szCs w:val="20"/>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1.5% multiplied by the aggregate Subscription Amount paid by such Holder pursuant to the Purchase Agreement for the Shares and Pre-Funded Warrants then held by such Holder on the date of determination. The parties agree that the maximum aggregate liquidated damages payable to a Holder under this Agreement shall be 18% of the aggregate Subscription Amount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firstLine="745"/>
        <w:spacing w:after="0" w:line="255" w:lineRule="auto"/>
        <w:tabs>
          <w:tab w:leader="none" w:pos="160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in no event shall the Company be permitted to name any Holder or affiliate of a Holder as any Underwriter without the prior written consent of such Holder.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38" w:name="page139"/>
    <w:bookmarkEnd w:id="138"/>
    <w:p>
      <w:pPr>
        <w:spacing w:after="0" w:line="208" w:lineRule="exact"/>
        <w:rPr>
          <w:sz w:val="20"/>
          <w:szCs w:val="20"/>
          <w:color w:val="auto"/>
        </w:rPr>
      </w:pPr>
    </w:p>
    <w:p>
      <w:pPr>
        <w:ind w:left="740" w:hanging="424"/>
        <w:spacing w:after="0"/>
        <w:tabs>
          <w:tab w:leader="none" w:pos="7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Procedures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 connection with the Company’s registration obligations hereunder, the Company shall:</w:t>
      </w:r>
    </w:p>
    <w:p>
      <w:pPr>
        <w:spacing w:after="0" w:line="232" w:lineRule="exact"/>
        <w:rPr>
          <w:sz w:val="20"/>
          <w:szCs w:val="20"/>
          <w:color w:val="auto"/>
        </w:rPr>
      </w:pPr>
    </w:p>
    <w:p>
      <w:pPr>
        <w:ind w:left="1600" w:hanging="535"/>
        <w:spacing w:after="0"/>
        <w:tabs>
          <w:tab w:leader="none" w:pos="16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less than five (5) Trading Days prior to the filing of each Registration Statement and not less than one</w:t>
      </w:r>
    </w:p>
    <w:p>
      <w:pPr>
        <w:spacing w:after="0" w:line="36" w:lineRule="exact"/>
        <w:rPr>
          <w:rFonts w:ascii="Times New Roman" w:cs="Times New Roman" w:eastAsia="Times New Roman" w:hAnsi="Times New Roman"/>
          <w:sz w:val="20"/>
          <w:szCs w:val="20"/>
          <w:color w:val="auto"/>
        </w:rPr>
      </w:pPr>
    </w:p>
    <w:p>
      <w:pPr>
        <w:jc w:val="both"/>
        <w:ind w:left="320" w:hanging="4"/>
        <w:spacing w:after="0" w:line="230" w:lineRule="auto"/>
        <w:tabs>
          <w:tab w:leader="none" w:pos="64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including the substance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Selling Stockholder Questionnaire</w:t>
      </w:r>
      <w:r>
        <w:rPr>
          <w:rFonts w:ascii="Times New Roman" w:cs="Times New Roman" w:eastAsia="Times New Roman" w:hAnsi="Times New Roman"/>
          <w:sz w:val="22"/>
          <w:szCs w:val="22"/>
          <w:color w:val="auto"/>
        </w:rPr>
        <w:t>”) on a date that is not less than two (2) Trading Days prior to the Filing Date or by the end of the fourth (4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Trading Day following the date on which such Holder receives draft materials in accordance with this Section.</w:t>
      </w:r>
    </w:p>
    <w:p>
      <w:pPr>
        <w:spacing w:after="0" w:line="218" w:lineRule="exact"/>
        <w:rPr>
          <w:rFonts w:ascii="Times New Roman" w:cs="Times New Roman" w:eastAsia="Times New Roman" w:hAnsi="Times New Roman"/>
          <w:sz w:val="22"/>
          <w:szCs w:val="22"/>
          <w:color w:val="auto"/>
        </w:rPr>
      </w:pPr>
    </w:p>
    <w:p>
      <w:pPr>
        <w:jc w:val="both"/>
        <w:ind w:left="320" w:firstLine="745"/>
        <w:spacing w:after="0" w:line="258" w:lineRule="auto"/>
        <w:tabs>
          <w:tab w:leader="none" w:pos="1608"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39" w:name="page140"/>
    <w:bookmarkEnd w:id="139"/>
    <w:p>
      <w:pPr>
        <w:jc w:val="both"/>
        <w:ind w:left="320"/>
        <w:spacing w:after="0" w:line="238" w:lineRule="auto"/>
        <w:rPr>
          <w:sz w:val="20"/>
          <w:szCs w:val="20"/>
          <w:color w:val="auto"/>
        </w:rPr>
      </w:pPr>
      <w:r>
        <w:rPr>
          <w:rFonts w:ascii="Times New Roman" w:cs="Times New Roman" w:eastAsia="Times New Roman" w:hAnsi="Times New Roman"/>
          <w:sz w:val="22"/>
          <w:szCs w:val="22"/>
          <w:color w:val="auto"/>
        </w:rPr>
        <w:t>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209" w:lineRule="exact"/>
        <w:rPr>
          <w:sz w:val="20"/>
          <w:szCs w:val="20"/>
          <w:color w:val="auto"/>
        </w:rPr>
      </w:pPr>
    </w:p>
    <w:p>
      <w:pPr>
        <w:jc w:val="both"/>
        <w:ind w:left="320" w:firstLine="745"/>
        <w:spacing w:after="0" w:line="238" w:lineRule="auto"/>
        <w:tabs>
          <w:tab w:leader="none" w:pos="160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208" w:lineRule="exact"/>
        <w:rPr>
          <w:rFonts w:ascii="Times New Roman" w:cs="Times New Roman" w:eastAsia="Times New Roman" w:hAnsi="Times New Roman"/>
          <w:sz w:val="22"/>
          <w:szCs w:val="22"/>
          <w:color w:val="auto"/>
        </w:rPr>
      </w:pPr>
    </w:p>
    <w:p>
      <w:pPr>
        <w:jc w:val="both"/>
        <w:ind w:left="320" w:firstLine="745"/>
        <w:spacing w:after="0" w:line="255" w:lineRule="auto"/>
        <w:tabs>
          <w:tab w:leader="none" w:pos="1608"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is material and that, in the determination of the Company, makes it not in the best interest of the Company to allow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40" w:name="page141"/>
    <w:bookmarkEnd w:id="140"/>
    <w:p>
      <w:pPr>
        <w:jc w:val="both"/>
        <w:ind w:left="320"/>
        <w:spacing w:after="0" w:line="237" w:lineRule="auto"/>
        <w:rPr>
          <w:sz w:val="20"/>
          <w:szCs w:val="20"/>
          <w:color w:val="auto"/>
        </w:rPr>
      </w:pPr>
      <w:r>
        <w:rPr>
          <w:rFonts w:ascii="Times New Roman" w:cs="Times New Roman" w:eastAsia="Times New Roman" w:hAnsi="Times New Roman"/>
          <w:sz w:val="22"/>
          <w:szCs w:val="22"/>
          <w:color w:val="auto"/>
        </w:rPr>
        <w:t xml:space="preserve">availability of a Registration Statement or Prospectus;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205" w:lineRule="exact"/>
        <w:rPr>
          <w:sz w:val="20"/>
          <w:szCs w:val="20"/>
          <w:color w:val="auto"/>
        </w:rPr>
      </w:pPr>
    </w:p>
    <w:p>
      <w:pPr>
        <w:jc w:val="both"/>
        <w:ind w:left="320" w:firstLine="745"/>
        <w:spacing w:after="0" w:line="238" w:lineRule="auto"/>
        <w:tabs>
          <w:tab w:leader="none" w:pos="160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208"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210" w:lineRule="exact"/>
        <w:rPr>
          <w:rFonts w:ascii="Times New Roman" w:cs="Times New Roman" w:eastAsia="Times New Roman" w:hAnsi="Times New Roman"/>
          <w:sz w:val="22"/>
          <w:szCs w:val="22"/>
          <w:color w:val="auto"/>
        </w:rPr>
      </w:pPr>
    </w:p>
    <w:p>
      <w:pPr>
        <w:jc w:val="both"/>
        <w:ind w:left="320" w:firstLine="745"/>
        <w:spacing w:after="0" w:line="238" w:lineRule="auto"/>
        <w:tabs>
          <w:tab w:leader="none" w:pos="160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208" w:lineRule="exact"/>
        <w:rPr>
          <w:rFonts w:ascii="Times New Roman" w:cs="Times New Roman" w:eastAsia="Times New Roman" w:hAnsi="Times New Roman"/>
          <w:sz w:val="22"/>
          <w:szCs w:val="22"/>
          <w:color w:val="auto"/>
        </w:rPr>
      </w:pPr>
    </w:p>
    <w:p>
      <w:pPr>
        <w:jc w:val="both"/>
        <w:ind w:left="320" w:firstLine="745"/>
        <w:spacing w:after="0" w:line="259" w:lineRule="auto"/>
        <w:tabs>
          <w:tab w:leader="none" w:pos="170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0" w:lineRule="exact"/>
        <w:rPr>
          <w:rFonts w:ascii="Times New Roman" w:cs="Times New Roman" w:eastAsia="Times New Roman" w:hAnsi="Times New Roman"/>
          <w:sz w:val="20"/>
          <w:szCs w:val="20"/>
          <w:color w:val="auto"/>
        </w:rPr>
      </w:pPr>
    </w:p>
    <w:p>
      <w:pPr>
        <w:jc w:val="both"/>
        <w:ind w:left="320" w:firstLine="745"/>
        <w:spacing w:after="0" w:line="242" w:lineRule="auto"/>
        <w:tabs>
          <w:tab w:leader="none" w:pos="160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as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41" w:name="page142"/>
    <w:bookmarkEnd w:id="141"/>
    <w:p>
      <w:pPr>
        <w:ind w:left="320"/>
        <w:spacing w:after="0" w:line="255" w:lineRule="auto"/>
        <w:rPr>
          <w:sz w:val="20"/>
          <w:szCs w:val="20"/>
          <w:color w:val="auto"/>
        </w:rPr>
      </w:pPr>
      <w:r>
        <w:rPr>
          <w:rFonts w:ascii="Times New Roman" w:cs="Times New Roman" w:eastAsia="Times New Roman" w:hAnsi="Times New Roman"/>
          <w:sz w:val="22"/>
          <w:szCs w:val="22"/>
          <w:color w:val="auto"/>
        </w:rPr>
        <w:t>applicable, of all restrictive legends, and to enable such Registrable Securities to be in such denominations and registered in such names as any such Holder may request.</w:t>
      </w:r>
    </w:p>
    <w:p>
      <w:pPr>
        <w:spacing w:after="0" w:line="190" w:lineRule="exact"/>
        <w:rPr>
          <w:sz w:val="20"/>
          <w:szCs w:val="20"/>
          <w:color w:val="auto"/>
        </w:rPr>
      </w:pPr>
    </w:p>
    <w:p>
      <w:pPr>
        <w:jc w:val="both"/>
        <w:ind w:left="320" w:firstLine="745"/>
        <w:spacing w:after="0" w:line="232" w:lineRule="auto"/>
        <w:tabs>
          <w:tab w:leader="none" w:pos="160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spacing w:after="0" w:line="212"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205" w:lineRule="exact"/>
        <w:rPr>
          <w:rFonts w:ascii="Times New Roman" w:cs="Times New Roman" w:eastAsia="Times New Roman" w:hAnsi="Times New Roman"/>
          <w:sz w:val="22"/>
          <w:szCs w:val="22"/>
          <w:color w:val="auto"/>
        </w:rPr>
      </w:pPr>
    </w:p>
    <w:p>
      <w:pPr>
        <w:ind w:left="1600" w:hanging="535"/>
        <w:spacing w:after="0"/>
        <w:tabs>
          <w:tab w:leader="none" w:pos="16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31" w:lineRule="exact"/>
        <w:rPr>
          <w:rFonts w:ascii="Times New Roman" w:cs="Times New Roman" w:eastAsia="Times New Roman" w:hAnsi="Times New Roman"/>
          <w:sz w:val="22"/>
          <w:szCs w:val="22"/>
          <w:color w:val="auto"/>
        </w:rPr>
      </w:pPr>
    </w:p>
    <w:p>
      <w:pPr>
        <w:jc w:val="both"/>
        <w:ind w:left="320" w:firstLine="745"/>
        <w:spacing w:after="0" w:line="235" w:lineRule="auto"/>
        <w:tabs>
          <w:tab w:leader="none" w:pos="160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42" w:name="page143"/>
    <w:bookmarkEnd w:id="142"/>
    <w:p>
      <w:pPr>
        <w:ind w:left="321"/>
        <w:spacing w:after="0" w:line="255" w:lineRule="auto"/>
        <w:rPr>
          <w:sz w:val="20"/>
          <w:szCs w:val="20"/>
          <w:color w:val="auto"/>
        </w:rPr>
      </w:pPr>
      <w:r>
        <w:rPr>
          <w:rFonts w:ascii="Times New Roman" w:cs="Times New Roman" w:eastAsia="Times New Roman" w:hAnsi="Times New Roman"/>
          <w:sz w:val="22"/>
          <w:szCs w:val="22"/>
          <w:color w:val="auto"/>
        </w:rPr>
        <w:t>tolled and any Event that may otherwise occur solely because of such delay shall be suspended as to such Holder only, until such information is delivered to the Company.</w:t>
      </w:r>
    </w:p>
    <w:p>
      <w:pPr>
        <w:spacing w:after="0" w:line="190" w:lineRule="exact"/>
        <w:rPr>
          <w:sz w:val="20"/>
          <w:szCs w:val="20"/>
          <w:color w:val="auto"/>
        </w:rPr>
      </w:pPr>
    </w:p>
    <w:p>
      <w:pPr>
        <w:jc w:val="both"/>
        <w:ind w:left="-439" w:firstLine="450"/>
        <w:spacing w:after="0" w:line="256" w:lineRule="auto"/>
        <w:tabs>
          <w:tab w:leader="none" w:pos="437"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Expenses</w:t>
      </w:r>
      <w:r>
        <w:rPr>
          <w:rFonts w:ascii="Times New Roman" w:cs="Times New Roman" w:eastAsia="Times New Roman" w:hAnsi="Times New Roman"/>
          <w:sz w:val="20"/>
          <w:szCs w:val="20"/>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200" w:lineRule="exact"/>
        <w:rPr>
          <w:rFonts w:ascii="Times New Roman" w:cs="Times New Roman" w:eastAsia="Times New Roman" w:hAnsi="Times New Roman"/>
          <w:sz w:val="20"/>
          <w:szCs w:val="20"/>
          <w:color w:val="auto"/>
        </w:rPr>
      </w:pPr>
    </w:p>
    <w:p>
      <w:pPr>
        <w:spacing w:after="0" w:line="238" w:lineRule="exact"/>
        <w:rPr>
          <w:rFonts w:ascii="Times New Roman" w:cs="Times New Roman" w:eastAsia="Times New Roman" w:hAnsi="Times New Roman"/>
          <w:sz w:val="20"/>
          <w:szCs w:val="20"/>
          <w:color w:val="auto"/>
        </w:rPr>
      </w:pPr>
    </w:p>
    <w:p>
      <w:pPr>
        <w:ind w:left="421" w:hanging="421"/>
        <w:spacing w:after="0"/>
        <w:tabs>
          <w:tab w:leader="none" w:pos="42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31" w:lineRule="exact"/>
        <w:rPr>
          <w:rFonts w:ascii="Times New Roman" w:cs="Times New Roman" w:eastAsia="Times New Roman" w:hAnsi="Times New Roman"/>
          <w:sz w:val="22"/>
          <w:szCs w:val="22"/>
          <w:color w:val="auto"/>
        </w:rPr>
      </w:pPr>
    </w:p>
    <w:p>
      <w:pPr>
        <w:jc w:val="both"/>
        <w:ind w:left="321" w:firstLine="745"/>
        <w:spacing w:after="0" w:line="233" w:lineRule="auto"/>
        <w:tabs>
          <w:tab w:leader="none" w:pos="1609"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Company</w:t>
      </w:r>
      <w:r>
        <w:rPr>
          <w:rFonts w:ascii="Times New Roman" w:cs="Times New Roman" w:eastAsia="Times New Roman" w:hAnsi="Times New Roman"/>
          <w:sz w:val="22"/>
          <w:szCs w:val="22"/>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w:t>
      </w:r>
    </w:p>
    <w:p>
      <w:pPr>
        <w:spacing w:after="0" w:line="3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476885</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1"/>
          </w:cols>
          <w:pgMar w:left="759" w:top="1405" w:right="339" w:bottom="1440" w:gutter="0" w:footer="0" w:header="0"/>
        </w:sectPr>
      </w:pPr>
    </w:p>
    <w:bookmarkStart w:id="143" w:name="page144"/>
    <w:bookmarkEnd w:id="143"/>
    <w:p>
      <w:pPr>
        <w:jc w:val="both"/>
        <w:ind w:left="320"/>
        <w:spacing w:after="0" w:line="255" w:lineRule="auto"/>
        <w:rPr>
          <w:sz w:val="20"/>
          <w:szCs w:val="20"/>
          <w:color w:val="auto"/>
        </w:rPr>
      </w:pPr>
      <w:r>
        <w:rPr>
          <w:rFonts w:ascii="Times New Roman" w:cs="Times New Roman" w:eastAsia="Times New Roman" w:hAnsi="Times New Roman"/>
          <w:sz w:val="20"/>
          <w:szCs w:val="20"/>
          <w:color w:val="auto"/>
        </w:rPr>
        <w:t>reasonable attorneys’ fees) and expenses (collectively, “</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0" w:lineRule="exact"/>
        <w:rPr>
          <w:sz w:val="20"/>
          <w:szCs w:val="20"/>
          <w:color w:val="auto"/>
        </w:rPr>
      </w:pPr>
    </w:p>
    <w:p>
      <w:pPr>
        <w:spacing w:after="0" w:line="248" w:lineRule="exact"/>
        <w:rPr>
          <w:sz w:val="20"/>
          <w:szCs w:val="20"/>
          <w:color w:val="auto"/>
        </w:rPr>
      </w:pPr>
    </w:p>
    <w:p>
      <w:pPr>
        <w:jc w:val="both"/>
        <w:ind w:left="320" w:firstLine="745"/>
        <w:spacing w:after="0" w:line="258" w:lineRule="auto"/>
        <w:tabs>
          <w:tab w:leader="none" w:pos="160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Holders</w:t>
      </w:r>
      <w:r>
        <w:rPr>
          <w:rFonts w:ascii="Times New Roman" w:cs="Times New Roman" w:eastAsia="Times New Roman" w:hAnsi="Times New Roman"/>
          <w:sz w:val="20"/>
          <w:szCs w:val="20"/>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44" w:name="page145"/>
    <w:bookmarkEnd w:id="144"/>
    <w:p>
      <w:pPr>
        <w:jc w:val="both"/>
        <w:ind w:left="320"/>
        <w:spacing w:after="0" w:line="234" w:lineRule="auto"/>
        <w:rPr>
          <w:sz w:val="20"/>
          <w:szCs w:val="20"/>
          <w:color w:val="auto"/>
        </w:rPr>
      </w:pPr>
      <w:r>
        <w:rPr>
          <w:rFonts w:ascii="Times New Roman" w:cs="Times New Roman" w:eastAsia="Times New Roman" w:hAnsi="Times New Roman"/>
          <w:sz w:val="22"/>
          <w:szCs w:val="22"/>
          <w:color w:val="auto"/>
        </w:rPr>
        <w:t>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209" w:lineRule="exact"/>
        <w:rPr>
          <w:sz w:val="20"/>
          <w:szCs w:val="20"/>
          <w:color w:val="auto"/>
        </w:rPr>
      </w:pPr>
    </w:p>
    <w:p>
      <w:pPr>
        <w:jc w:val="both"/>
        <w:ind w:left="320" w:firstLine="745"/>
        <w:spacing w:after="0" w:line="233" w:lineRule="auto"/>
        <w:tabs>
          <w:tab w:leader="none" w:pos="160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Indemnification Proceedings</w:t>
      </w:r>
      <w:r>
        <w:rPr>
          <w:rFonts w:ascii="Times New Roman" w:cs="Times New Roman" w:eastAsia="Times New Roman" w:hAnsi="Times New Roman"/>
          <w:sz w:val="22"/>
          <w:szCs w:val="22"/>
          <w:color w:val="auto"/>
        </w:rPr>
        <w:t>. If any Proceeding shall be brought or asserted against any Person entitled to indemnity hereunder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such Indemnified Party shall promptly notify the Person from whom indemnity is sought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214" w:lineRule="exact"/>
        <w:rPr>
          <w:sz w:val="20"/>
          <w:szCs w:val="20"/>
          <w:color w:val="auto"/>
        </w:rPr>
      </w:pPr>
    </w:p>
    <w:p>
      <w:pPr>
        <w:jc w:val="both"/>
        <w:ind w:left="320" w:firstLine="852"/>
        <w:spacing w:after="0" w:line="257" w:lineRule="auto"/>
        <w:rPr>
          <w:sz w:val="20"/>
          <w:szCs w:val="20"/>
          <w:color w:val="auto"/>
        </w:rPr>
      </w:pPr>
      <w:r>
        <w:rPr>
          <w:rFonts w:ascii="Times New Roman" w:cs="Times New Roman" w:eastAsia="Times New Roman" w:hAnsi="Times New Roman"/>
          <w:sz w:val="20"/>
          <w:szCs w:val="20"/>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45" w:name="page146"/>
    <w:bookmarkEnd w:id="145"/>
    <w:p>
      <w:pPr>
        <w:jc w:val="both"/>
        <w:ind w:left="320"/>
        <w:spacing w:after="0" w:line="242" w:lineRule="auto"/>
        <w:rPr>
          <w:sz w:val="20"/>
          <w:szCs w:val="20"/>
          <w:color w:val="auto"/>
        </w:rPr>
      </w:pPr>
      <w:r>
        <w:rPr>
          <w:rFonts w:ascii="Times New Roman" w:cs="Times New Roman" w:eastAsia="Times New Roman" w:hAnsi="Times New Roman"/>
          <w:sz w:val="22"/>
          <w:szCs w:val="22"/>
          <w:color w:val="auto"/>
        </w:rPr>
        <w:t>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204" w:lineRule="exact"/>
        <w:rPr>
          <w:sz w:val="20"/>
          <w:szCs w:val="20"/>
          <w:color w:val="auto"/>
        </w:rPr>
      </w:pPr>
    </w:p>
    <w:p>
      <w:pPr>
        <w:jc w:val="both"/>
        <w:ind w:left="320" w:firstLine="971"/>
        <w:spacing w:after="0" w:line="235" w:lineRule="auto"/>
        <w:rPr>
          <w:sz w:val="20"/>
          <w:szCs w:val="20"/>
          <w:color w:val="auto"/>
        </w:rPr>
      </w:pPr>
      <w:r>
        <w:rPr>
          <w:rFonts w:ascii="Times New Roman" w:cs="Times New Roman" w:eastAsia="Times New Roman" w:hAnsi="Times New Roman"/>
          <w:sz w:val="22"/>
          <w:szCs w:val="22"/>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205" w:lineRule="exact"/>
        <w:rPr>
          <w:sz w:val="20"/>
          <w:szCs w:val="20"/>
          <w:color w:val="auto"/>
        </w:rPr>
      </w:pPr>
    </w:p>
    <w:p>
      <w:pPr>
        <w:jc w:val="both"/>
        <w:ind w:left="320" w:firstLine="745"/>
        <w:spacing w:after="0" w:line="232" w:lineRule="auto"/>
        <w:tabs>
          <w:tab w:leader="none" w:pos="160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215" w:lineRule="exact"/>
        <w:rPr>
          <w:sz w:val="20"/>
          <w:szCs w:val="20"/>
          <w:color w:val="auto"/>
        </w:rPr>
      </w:pPr>
    </w:p>
    <w:p>
      <w:pPr>
        <w:jc w:val="both"/>
        <w:ind w:left="320" w:firstLine="820"/>
        <w:spacing w:after="0" w:line="235" w:lineRule="auto"/>
        <w:rPr>
          <w:sz w:val="20"/>
          <w:szCs w:val="20"/>
          <w:color w:val="auto"/>
        </w:rPr>
      </w:pPr>
      <w:r>
        <w:rPr>
          <w:rFonts w:ascii="Times New Roman" w:cs="Times New Roman" w:eastAsia="Times New Roman" w:hAnsi="Times New Roman"/>
          <w:sz w:val="22"/>
          <w:szCs w:val="22"/>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583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05" w:right="339" w:bottom="1440" w:gutter="0" w:footer="0" w:header="0"/>
        </w:sectPr>
      </w:pPr>
    </w:p>
    <w:bookmarkStart w:id="146" w:name="page147"/>
    <w:bookmarkEnd w:id="146"/>
    <w:p>
      <w:pPr>
        <w:ind w:left="321"/>
        <w:spacing w:after="0"/>
        <w:rPr>
          <w:sz w:val="20"/>
          <w:szCs w:val="20"/>
          <w:color w:val="auto"/>
        </w:rPr>
      </w:pPr>
      <w:r>
        <w:rPr>
          <w:rFonts w:ascii="Times New Roman" w:cs="Times New Roman" w:eastAsia="Times New Roman" w:hAnsi="Times New Roman"/>
          <w:sz w:val="22"/>
          <w:szCs w:val="22"/>
          <w:color w:val="auto"/>
        </w:rPr>
        <w:t>upon the sale of the Registrable Securities giving rise to such contribution obligation.</w:t>
      </w:r>
    </w:p>
    <w:p>
      <w:pPr>
        <w:spacing w:after="0" w:line="232" w:lineRule="exact"/>
        <w:rPr>
          <w:sz w:val="20"/>
          <w:szCs w:val="20"/>
          <w:color w:val="auto"/>
        </w:rPr>
      </w:pPr>
    </w:p>
    <w:p>
      <w:pPr>
        <w:ind w:left="321" w:right="20" w:firstLine="749"/>
        <w:spacing w:after="0" w:line="255" w:lineRule="auto"/>
        <w:rPr>
          <w:sz w:val="20"/>
          <w:szCs w:val="20"/>
          <w:color w:val="auto"/>
        </w:rPr>
      </w:pPr>
      <w:r>
        <w:rPr>
          <w:rFonts w:ascii="Times New Roman" w:cs="Times New Roman" w:eastAsia="Times New Roman" w:hAnsi="Times New Roman"/>
          <w:sz w:val="22"/>
          <w:szCs w:val="22"/>
          <w:color w:val="auto"/>
        </w:rPr>
        <w:t>The indemnity and contribution agreements contained in this Section are in addition to any liability that the Indemnifying Parties may have to the Indemnified Parties.</w:t>
      </w:r>
    </w:p>
    <w:p>
      <w:pPr>
        <w:spacing w:after="0" w:line="190" w:lineRule="exact"/>
        <w:rPr>
          <w:sz w:val="20"/>
          <w:szCs w:val="20"/>
          <w:color w:val="auto"/>
        </w:rPr>
      </w:pPr>
    </w:p>
    <w:p>
      <w:pPr>
        <w:ind w:left="421" w:hanging="421"/>
        <w:spacing w:after="0"/>
        <w:tabs>
          <w:tab w:leader="none" w:pos="42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1" w:lineRule="exact"/>
        <w:rPr>
          <w:rFonts w:ascii="Times New Roman" w:cs="Times New Roman" w:eastAsia="Times New Roman" w:hAnsi="Times New Roman"/>
          <w:sz w:val="22"/>
          <w:szCs w:val="22"/>
          <w:color w:val="auto"/>
        </w:rPr>
      </w:pPr>
    </w:p>
    <w:p>
      <w:pPr>
        <w:jc w:val="both"/>
        <w:ind w:left="-439" w:firstLine="756"/>
        <w:spacing w:after="0" w:line="235" w:lineRule="auto"/>
        <w:tabs>
          <w:tab w:leader="none" w:pos="579"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205" w:lineRule="exact"/>
        <w:rPr>
          <w:rFonts w:ascii="Times New Roman" w:cs="Times New Roman" w:eastAsia="Times New Roman" w:hAnsi="Times New Roman"/>
          <w:sz w:val="22"/>
          <w:szCs w:val="22"/>
          <w:color w:val="auto"/>
        </w:rPr>
      </w:pPr>
    </w:p>
    <w:p>
      <w:pPr>
        <w:jc w:val="both"/>
        <w:ind w:left="-439" w:firstLine="756"/>
        <w:spacing w:after="0" w:line="235" w:lineRule="auto"/>
        <w:tabs>
          <w:tab w:leader="none" w:pos="579"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Piggyback on Registrations; Prohibition on Filing Other Registration Statements</w:t>
      </w:r>
      <w:r>
        <w:rPr>
          <w:rFonts w:ascii="Times New Roman" w:cs="Times New Roman" w:eastAsia="Times New Roman" w:hAnsi="Times New Roman"/>
          <w:sz w:val="22"/>
          <w:szCs w:val="22"/>
          <w:color w:val="auto"/>
        </w:rPr>
        <w:t>. Except for the shares of Common Stock issuable upon exercise of the warrants issued to the Placement Agent in the transactions contemplated by the Purchase Agreement, neither the Company nor any of its security holders (other than the Holders in such capacity pursuant hereto) may include securities of the Company in any Registration Statements other than the Registrable Securities. The Company shall not file any other registration statements other than the Registration Statement during the prohibition period set forth in Section 4.11(a) of the Purchase Agreement.</w:t>
      </w:r>
    </w:p>
    <w:p>
      <w:pPr>
        <w:spacing w:after="0" w:line="210" w:lineRule="exact"/>
        <w:rPr>
          <w:rFonts w:ascii="Times New Roman" w:cs="Times New Roman" w:eastAsia="Times New Roman" w:hAnsi="Times New Roman"/>
          <w:sz w:val="22"/>
          <w:szCs w:val="22"/>
          <w:color w:val="auto"/>
        </w:rPr>
      </w:pPr>
    </w:p>
    <w:p>
      <w:pPr>
        <w:jc w:val="both"/>
        <w:ind w:left="-439" w:firstLine="756"/>
        <w:spacing w:after="0" w:line="235" w:lineRule="auto"/>
        <w:tabs>
          <w:tab w:leader="none" w:pos="579"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Discontinued Disposition</w:t>
      </w:r>
      <w:r>
        <w:rPr>
          <w:rFonts w:ascii="Times New Roman" w:cs="Times New Roman" w:eastAsia="Times New Roman" w:hAnsi="Times New Roman"/>
          <w:sz w:val="22"/>
          <w:szCs w:val="22"/>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22"/>
          <w:szCs w:val="22"/>
          <w:u w:val="single" w:color="auto"/>
          <w:color w:val="auto"/>
        </w:rPr>
        <w:t>Advice</w:t>
      </w:r>
      <w:r>
        <w:rPr>
          <w:rFonts w:ascii="Times New Roman" w:cs="Times New Roman" w:eastAsia="Times New Roman" w:hAnsi="Times New Roman"/>
          <w:sz w:val="22"/>
          <w:szCs w:val="22"/>
          <w:color w:val="auto"/>
        </w:rPr>
        <w:t>”) by the Company that the use of the applicable Prospectus (as it may have been supplemented or amended) may be resumed. The Company will use its commercially reasonable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205" w:lineRule="exact"/>
        <w:rPr>
          <w:rFonts w:ascii="Times New Roman" w:cs="Times New Roman" w:eastAsia="Times New Roman" w:hAnsi="Times New Roman"/>
          <w:sz w:val="22"/>
          <w:szCs w:val="22"/>
          <w:color w:val="auto"/>
        </w:rPr>
      </w:pPr>
    </w:p>
    <w:p>
      <w:pPr>
        <w:jc w:val="both"/>
        <w:ind w:left="-439" w:firstLine="756"/>
        <w:spacing w:after="0" w:line="237" w:lineRule="auto"/>
        <w:tabs>
          <w:tab w:leader="none" w:pos="579"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Piggy-Back Registrations</w:t>
      </w:r>
      <w:r>
        <w:rPr>
          <w:rFonts w:ascii="Times New Roman" w:cs="Times New Roman" w:eastAsia="Times New Roman" w:hAnsi="Times New Roman"/>
          <w:sz w:val="22"/>
          <w:szCs w:val="22"/>
          <w:color w:val="auto"/>
        </w:rPr>
        <w:t>.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w:t>
      </w:r>
    </w:p>
    <w:p>
      <w:pPr>
        <w:spacing w:after="0" w:line="3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476885</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1"/>
          </w:cols>
          <w:pgMar w:left="759" w:top="1405" w:right="339" w:bottom="1440" w:gutter="0" w:footer="0" w:header="0"/>
        </w:sectPr>
      </w:pPr>
    </w:p>
    <w:bookmarkStart w:id="147" w:name="page148"/>
    <w:bookmarkEnd w:id="14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to be issued solely in connection with any acquisition of any entity or business or equity securities issuable in connection with the Company’s stock option or other employee benefit plans, then the Company shall deliver to each Holder a written notice of such determination and, if within fifteen days after the date of the delivery of such notice, any such Holder shall so request in writing, the Company shall include in such registration statement all or any part of such Registrable Securities such Holder requests to be registered;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required to register any Registrable Securities pursuant to this Section 6(e) that are eligible for resale pursuant to Rule 144 (without volume restrictions or current public information requirements, and assuming each Holder is an not an Affiliate of the Company and will exercise all Warrants by “cashless exercise”) promulgated by the Commission pursuant to the Securities Act or that are the subject of a then effective Registration Statement that is available for resales or other dispositions by such Holder.</w:t>
      </w:r>
    </w:p>
    <w:p>
      <w:pPr>
        <w:spacing w:after="0" w:line="214" w:lineRule="exact"/>
        <w:rPr>
          <w:sz w:val="20"/>
          <w:szCs w:val="20"/>
          <w:color w:val="auto"/>
        </w:rPr>
      </w:pPr>
    </w:p>
    <w:p>
      <w:pPr>
        <w:jc w:val="both"/>
        <w:ind w:firstLine="756"/>
        <w:spacing w:after="0" w:line="232" w:lineRule="auto"/>
        <w:tabs>
          <w:tab w:leader="none" w:pos="101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provisions of this sentence may not be amended, modified, or supplemented except in accordance with the provisions of the first sentence of this Section 6(e). No consideration shall be offered or paid to any Person to amend or consent to a waiver or modification of any provision of this Agreement unless the same consideration also is offered to all of the parties to this Agreement.</w:t>
      </w:r>
    </w:p>
    <w:p>
      <w:pPr>
        <w:spacing w:after="0" w:line="208" w:lineRule="exact"/>
        <w:rPr>
          <w:rFonts w:ascii="Times New Roman" w:cs="Times New Roman" w:eastAsia="Times New Roman" w:hAnsi="Times New Roman"/>
          <w:sz w:val="22"/>
          <w:szCs w:val="22"/>
          <w:color w:val="auto"/>
        </w:rPr>
      </w:pPr>
    </w:p>
    <w:p>
      <w:pPr>
        <w:ind w:firstLine="756"/>
        <w:spacing w:after="0" w:line="255" w:lineRule="auto"/>
        <w:tabs>
          <w:tab w:leader="none" w:pos="101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or other communications or deliveries required or permitted to be provided hereunder shall be delivered as set forth in the Purchase Agreement.</w:t>
      </w:r>
    </w:p>
    <w:p>
      <w:pPr>
        <w:spacing w:after="0" w:line="189" w:lineRule="exact"/>
        <w:rPr>
          <w:rFonts w:ascii="Times New Roman" w:cs="Times New Roman" w:eastAsia="Times New Roman" w:hAnsi="Times New Roman"/>
          <w:sz w:val="22"/>
          <w:szCs w:val="22"/>
          <w:color w:val="auto"/>
        </w:rPr>
      </w:pPr>
    </w:p>
    <w:p>
      <w:pPr>
        <w:jc w:val="both"/>
        <w:ind w:firstLine="756"/>
        <w:spacing w:after="0" w:line="238" w:lineRule="auto"/>
        <w:tabs>
          <w:tab w:leader="none" w:pos="101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color w:val="auto"/>
        </w:rPr>
        <w:t>hereunder in the manner and to the Persons as permitted under Section 5.7 of the Purchase Agreement.</w:t>
      </w:r>
    </w:p>
    <w:p>
      <w:pPr>
        <w:spacing w:after="0" w:line="232" w:lineRule="exact"/>
        <w:rPr>
          <w:sz w:val="20"/>
          <w:szCs w:val="20"/>
          <w:color w:val="auto"/>
        </w:rPr>
      </w:pPr>
    </w:p>
    <w:p>
      <w:pPr>
        <w:jc w:val="both"/>
        <w:ind w:firstLine="756"/>
        <w:spacing w:after="0" w:line="235" w:lineRule="auto"/>
        <w:tabs>
          <w:tab w:leader="none" w:pos="101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Inconsistent Agreements</w:t>
      </w:r>
      <w:r>
        <w:rPr>
          <w:rFonts w:ascii="Times New Roman" w:cs="Times New Roman" w:eastAsia="Times New Roman" w:hAnsi="Times New Roman"/>
          <w:sz w:val="22"/>
          <w:szCs w:val="22"/>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Times New Roman" w:cs="Times New Roman" w:eastAsia="Times New Roman" w:hAnsi="Times New Roman"/>
          <w:sz w:val="22"/>
          <w:szCs w:val="22"/>
          <w:u w:val="single" w:color="auto"/>
          <w:color w:val="auto"/>
        </w:rPr>
        <w:t>Schedule 6(i)</w:t>
      </w:r>
      <w:r>
        <w:rPr>
          <w:rFonts w:ascii="Times New Roman" w:cs="Times New Roman" w:eastAsia="Times New Roman" w:hAnsi="Times New Roman"/>
          <w:sz w:val="22"/>
          <w:szCs w:val="22"/>
          <w:color w:val="auto"/>
        </w:rPr>
        <w:t>, neither the Company nor any of its Subsidiaries has previously entered into any agreement granting any registration rights with respect to any of its securities to any Person that have not been satisfied in full.</w:t>
      </w:r>
    </w:p>
    <w:p>
      <w:pPr>
        <w:spacing w:after="0" w:line="210" w:lineRule="exact"/>
        <w:rPr>
          <w:rFonts w:ascii="Times New Roman" w:cs="Times New Roman" w:eastAsia="Times New Roman" w:hAnsi="Times New Roman"/>
          <w:sz w:val="22"/>
          <w:szCs w:val="22"/>
          <w:color w:val="auto"/>
        </w:rPr>
      </w:pPr>
    </w:p>
    <w:p>
      <w:pPr>
        <w:jc w:val="both"/>
        <w:ind w:firstLine="756"/>
        <w:spacing w:after="0" w:line="235" w:lineRule="auto"/>
        <w:tabs>
          <w:tab w:leader="none" w:pos="101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Counterparts</w:t>
      </w:r>
      <w:r>
        <w:rPr>
          <w:rFonts w:ascii="Times New Roman" w:cs="Times New Roman" w:eastAsia="Times New Roman" w:hAnsi="Times New Roman"/>
          <w:sz w:val="22"/>
          <w:szCs w:val="22"/>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205" w:lineRule="exact"/>
        <w:rPr>
          <w:rFonts w:ascii="Times New Roman" w:cs="Times New Roman" w:eastAsia="Times New Roman" w:hAnsi="Times New Roman"/>
          <w:sz w:val="22"/>
          <w:szCs w:val="22"/>
          <w:color w:val="auto"/>
        </w:rPr>
      </w:pPr>
    </w:p>
    <w:p>
      <w:pPr>
        <w:ind w:firstLine="756"/>
        <w:spacing w:after="0" w:line="255" w:lineRule="auto"/>
        <w:tabs>
          <w:tab w:leader="none" w:pos="101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questions concerning the construction, validity, enforcement and interpretation of this Agreement shall be determined in accordance with the provisions of the Purchase Agreement.</w:t>
      </w:r>
    </w:p>
    <w:p>
      <w:pPr>
        <w:spacing w:after="0" w:line="189" w:lineRule="exact"/>
        <w:rPr>
          <w:rFonts w:ascii="Times New Roman" w:cs="Times New Roman" w:eastAsia="Times New Roman" w:hAnsi="Times New Roman"/>
          <w:sz w:val="22"/>
          <w:szCs w:val="22"/>
          <w:color w:val="auto"/>
        </w:rPr>
      </w:pPr>
    </w:p>
    <w:p>
      <w:pPr>
        <w:ind w:firstLine="756"/>
        <w:spacing w:after="0" w:line="255" w:lineRule="auto"/>
        <w:tabs>
          <w:tab w:leader="none" w:pos="101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Cumulative Remedies</w:t>
      </w:r>
      <w:r>
        <w:rPr>
          <w:rFonts w:ascii="Times New Roman" w:cs="Times New Roman" w:eastAsia="Times New Roman" w:hAnsi="Times New Roman"/>
          <w:sz w:val="22"/>
          <w:szCs w:val="22"/>
          <w:color w:val="auto"/>
        </w:rPr>
        <w:t>. The remedies provided herein are cumulative and not exclusive of any other remedies provided by law.</w:t>
      </w:r>
    </w:p>
    <w:p>
      <w:pPr>
        <w:spacing w:after="0" w:line="189" w:lineRule="exact"/>
        <w:rPr>
          <w:rFonts w:ascii="Times New Roman" w:cs="Times New Roman" w:eastAsia="Times New Roman" w:hAnsi="Times New Roman"/>
          <w:sz w:val="22"/>
          <w:szCs w:val="22"/>
          <w:color w:val="auto"/>
        </w:rPr>
      </w:pPr>
    </w:p>
    <w:p>
      <w:pPr>
        <w:jc w:val="both"/>
        <w:ind w:firstLine="756"/>
        <w:spacing w:after="0" w:line="235" w:lineRule="auto"/>
        <w:tabs>
          <w:tab w:leader="none" w:pos="101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convenience only, do not constitute a part of the Agreement and shall not be deemed to limit or affect any of the provisions hereof.</w:t>
      </w:r>
    </w:p>
    <w:p>
      <w:pPr>
        <w:spacing w:after="0" w:line="190" w:lineRule="exact"/>
        <w:rPr>
          <w:sz w:val="20"/>
          <w:szCs w:val="20"/>
          <w:color w:val="auto"/>
        </w:rPr>
      </w:pPr>
    </w:p>
    <w:p>
      <w:pPr>
        <w:ind w:firstLine="756"/>
        <w:spacing w:after="0" w:line="255" w:lineRule="auto"/>
        <w:tabs>
          <w:tab w:leader="none" w:pos="101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Nature of Holders’ Obligations and Rights</w:t>
      </w:r>
      <w:r>
        <w:rPr>
          <w:rFonts w:ascii="Times New Roman" w:cs="Times New Roman" w:eastAsia="Times New Roman" w:hAnsi="Times New Roman"/>
          <w:sz w:val="22"/>
          <w:szCs w:val="22"/>
          <w:color w:val="auto"/>
        </w:rPr>
        <w:t>. The obligations of each Holder hereunder are several and not joint with the obligations of any other Holder</w:t>
      </w:r>
    </w:p>
    <w:p>
      <w:pPr>
        <w:spacing w:after="0" w:line="3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49" w:name="page150"/>
    <w:bookmarkEnd w:id="149"/>
    <w:p>
      <w:pPr>
        <w:jc w:val="both"/>
        <w:spacing w:after="0" w:line="257" w:lineRule="auto"/>
        <w:rPr>
          <w:sz w:val="20"/>
          <w:szCs w:val="20"/>
          <w:color w:val="auto"/>
        </w:rPr>
      </w:pPr>
      <w:r>
        <w:rPr>
          <w:rFonts w:ascii="Times New Roman" w:cs="Times New Roman" w:eastAsia="Times New Roman" w:hAnsi="Times New Roman"/>
          <w:sz w:val="20"/>
          <w:szCs w:val="20"/>
          <w:color w:val="auto"/>
        </w:rPr>
        <w:t>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solely based on the provisions of this Agreement or any other agreement or document delivered at any closing in connection herewith, and any action taken by any Holder pursuant hereto or thereto,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3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50" w:name="page151"/>
    <w:bookmarkEnd w:id="150"/>
    <w:p>
      <w:pPr>
        <w:spacing w:after="0" w:line="20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 WITNESS WHEREOF, the parties have executed this Registration Rights Agreement as of the date first written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pacing w:after="0" w:line="200" w:lineRule="exact"/>
        <w:rPr>
          <w:sz w:val="20"/>
          <w:szCs w:val="20"/>
          <w:color w:val="auto"/>
        </w:rPr>
      </w:pPr>
    </w:p>
    <w:p>
      <w:pPr>
        <w:spacing w:after="0" w:line="2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By:__________________________________________</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 Thomas J. Schaefer</w:t>
      </w:r>
    </w:p>
    <w:p>
      <w:pPr>
        <w:ind w:left="3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8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right"/>
        <w:ind w:right="2079"/>
        <w:spacing w:after="0"/>
        <w:rPr>
          <w:sz w:val="20"/>
          <w:szCs w:val="20"/>
          <w:color w:val="auto"/>
        </w:rPr>
      </w:pPr>
      <w:r>
        <w:rPr>
          <w:rFonts w:ascii="Times New Roman" w:cs="Times New Roman" w:eastAsia="Times New Roman" w:hAnsi="Times New Roman"/>
          <w:sz w:val="22"/>
          <w:szCs w:val="22"/>
          <w:color w:val="auto"/>
        </w:rPr>
        <w:t>[SIGNATURE PAGE OF HOLDERS TO RKDA RRA]</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Holder: __________________________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Holder</w:t>
      </w:r>
      <w:r>
        <w:rPr>
          <w:rFonts w:ascii="Times New Roman" w:cs="Times New Roman" w:eastAsia="Times New Roman" w:hAnsi="Times New Roman"/>
          <w:sz w:val="22"/>
          <w:szCs w:val="22"/>
          <w:color w:val="auto"/>
        </w:rPr>
        <w:t>: __________________________</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 _________________________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83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05" w:right="1440"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Plan of Distribution</w:t>
      </w:r>
    </w:p>
    <w:p>
      <w:pPr>
        <w:spacing w:after="0" w:line="23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Each Selling Stockholder (the “</w:t>
      </w:r>
      <w:r>
        <w:rPr>
          <w:rFonts w:ascii="Times New Roman" w:cs="Times New Roman" w:eastAsia="Times New Roman" w:hAnsi="Times New Roman"/>
          <w:sz w:val="22"/>
          <w:szCs w:val="22"/>
          <w:u w:val="single" w:color="auto"/>
          <w:color w:val="auto"/>
        </w:rPr>
        <w:t>Selling Stockholders</w:t>
      </w:r>
      <w:r>
        <w:rPr>
          <w:rFonts w:ascii="Times New Roman" w:cs="Times New Roman" w:eastAsia="Times New Roman" w:hAnsi="Times New Roman"/>
          <w:sz w:val="22"/>
          <w:szCs w:val="22"/>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44" w:lineRule="exact"/>
        <w:rPr>
          <w:sz w:val="20"/>
          <w:szCs w:val="20"/>
          <w:color w:val="auto"/>
        </w:rPr>
      </w:pPr>
    </w:p>
    <w:p>
      <w:pPr>
        <w:ind w:left="1500" w:hanging="369"/>
        <w:spacing w:after="0" w:line="253" w:lineRule="exact"/>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brokerage transactions and transactions in which the 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 solicits purchasers;</w:t>
      </w:r>
    </w:p>
    <w:p>
      <w:pPr>
        <w:spacing w:after="0" w:line="218" w:lineRule="exact"/>
        <w:rPr>
          <w:rFonts w:ascii="Times New Roman" w:cs="Times New Roman" w:eastAsia="Times New Roman" w:hAnsi="Times New Roman"/>
          <w:sz w:val="22"/>
          <w:szCs w:val="22"/>
          <w:color w:val="auto"/>
        </w:rPr>
      </w:pPr>
    </w:p>
    <w:p>
      <w:pPr>
        <w:ind w:left="1500" w:right="200" w:hanging="369"/>
        <w:spacing w:after="0" w:line="285" w:lineRule="exact"/>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block trades in which the 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 will attempt to sell the securities as agent but may position and resell a portion of the block as principal to facilitate the transaction;</w:t>
      </w:r>
    </w:p>
    <w:p>
      <w:pPr>
        <w:spacing w:after="0" w:line="144" w:lineRule="exact"/>
        <w:rPr>
          <w:rFonts w:ascii="Times New Roman" w:cs="Times New Roman" w:eastAsia="Times New Roman" w:hAnsi="Times New Roman"/>
          <w:sz w:val="22"/>
          <w:szCs w:val="22"/>
          <w:color w:val="auto"/>
        </w:rPr>
      </w:pPr>
    </w:p>
    <w:p>
      <w:pPr>
        <w:ind w:left="1500" w:hanging="369"/>
        <w:spacing w:after="0" w:line="253" w:lineRule="exact"/>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by a 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 as principal and resale by the 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 for its account;</w:t>
      </w:r>
    </w:p>
    <w:p>
      <w:pPr>
        <w:spacing w:after="0" w:line="252"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exchange distribution in accordance with the rules of the applicable exchange;</w:t>
      </w:r>
    </w:p>
    <w:p>
      <w:pPr>
        <w:spacing w:after="0" w:line="20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privately negotiated transactions;</w:t>
      </w:r>
    </w:p>
    <w:p>
      <w:pPr>
        <w:spacing w:after="0" w:line="20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of short sales;</w:t>
      </w:r>
    </w:p>
    <w:p>
      <w:pPr>
        <w:spacing w:after="0" w:line="170" w:lineRule="exact"/>
        <w:rPr>
          <w:rFonts w:ascii="Times New Roman" w:cs="Times New Roman" w:eastAsia="Times New Roman" w:hAnsi="Times New Roman"/>
          <w:sz w:val="22"/>
          <w:szCs w:val="22"/>
          <w:color w:val="auto"/>
        </w:rPr>
      </w:pPr>
    </w:p>
    <w:p>
      <w:pPr>
        <w:ind w:left="1500" w:hanging="369"/>
        <w:spacing w:after="0" w:line="285" w:lineRule="exact"/>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transactions through 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dealers that agree with the Selling Stockholders to sell a specified number of such securities at a stipulated price per security;</w:t>
      </w:r>
    </w:p>
    <w:p>
      <w:pPr>
        <w:spacing w:after="0" w:line="179" w:lineRule="exact"/>
        <w:rPr>
          <w:rFonts w:ascii="Times New Roman" w:cs="Times New Roman" w:eastAsia="Times New Roman" w:hAnsi="Times New Roman"/>
          <w:sz w:val="22"/>
          <w:szCs w:val="22"/>
          <w:color w:val="auto"/>
        </w:rPr>
      </w:pPr>
    </w:p>
    <w:p>
      <w:pPr>
        <w:ind w:left="1500" w:right="80" w:hanging="369"/>
        <w:spacing w:after="0" w:line="255"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the writing or settlement of options or other hedging transactions, whether through an options exchange or otherwise;</w:t>
      </w:r>
    </w:p>
    <w:p>
      <w:pPr>
        <w:spacing w:after="0" w:line="162"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combination of any such methods of sale; or</w:t>
      </w:r>
    </w:p>
    <w:p>
      <w:pPr>
        <w:spacing w:after="0" w:line="20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pursuant to applicable law.</w:t>
      </w:r>
    </w:p>
    <w:p>
      <w:pPr>
        <w:spacing w:after="0" w:line="20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if available, rather than under this prospectus.</w:t>
      </w:r>
    </w:p>
    <w:p>
      <w:pPr>
        <w:spacing w:after="0" w:line="128" w:lineRule="exact"/>
        <w:rPr>
          <w:sz w:val="20"/>
          <w:szCs w:val="20"/>
          <w:color w:val="auto"/>
        </w:rPr>
      </w:pPr>
    </w:p>
    <w:p>
      <w:pPr>
        <w:jc w:val="both"/>
        <w:ind w:firstLine="749"/>
        <w:spacing w:after="0" w:line="276" w:lineRule="exact"/>
        <w:rPr>
          <w:sz w:val="20"/>
          <w:szCs w:val="20"/>
          <w:color w:val="auto"/>
        </w:rPr>
      </w:pPr>
      <w:r>
        <w:rPr>
          <w:rFonts w:ascii="Times New Roman" w:cs="Times New Roman" w:eastAsia="Times New Roman" w:hAnsi="Times New Roman"/>
          <w:sz w:val="22"/>
          <w:szCs w:val="22"/>
          <w:color w:val="auto"/>
        </w:rPr>
        <w:t>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dealers engaged by the Selling Stockholders may arrange for other brokers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dealers to participate in sales. 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dealers may receive commissions or discounts from the Selling Stockholders (or, if any 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 acts as agent for the purchaser of securities, from the purchaser) in amounts to be negotiated, but, except as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83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53" w:name="page154"/>
    <w:bookmarkEnd w:id="153"/>
    <w:p>
      <w:pPr>
        <w:jc w:val="both"/>
        <w:spacing w:after="0" w:line="242" w:lineRule="auto"/>
        <w:rPr>
          <w:sz w:val="20"/>
          <w:szCs w:val="20"/>
          <w:color w:val="auto"/>
        </w:rPr>
      </w:pPr>
      <w:r>
        <w:rPr>
          <w:rFonts w:ascii="Times New Roman" w:cs="Times New Roman" w:eastAsia="Times New Roman" w:hAnsi="Times New Roman"/>
          <w:sz w:val="22"/>
          <w:szCs w:val="22"/>
          <w:color w:val="auto"/>
        </w:rPr>
        <w:t>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54" w:name="page155"/>
    <w:bookmarkEnd w:id="154"/>
    <w:p>
      <w:pPr>
        <w:jc w:val="both"/>
        <w:spacing w:after="0" w:line="237" w:lineRule="auto"/>
        <w:rPr>
          <w:sz w:val="20"/>
          <w:szCs w:val="20"/>
          <w:color w:val="auto"/>
        </w:rPr>
      </w:pPr>
      <w:r>
        <w:rPr>
          <w:rFonts w:ascii="Times New Roman" w:cs="Times New Roman" w:eastAsia="Times New Roman" w:hAnsi="Times New Roman"/>
          <w:sz w:val="22"/>
          <w:szCs w:val="22"/>
          <w:color w:val="auto"/>
        </w:rPr>
        <w:t>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2"/>
          <w:szCs w:val="22"/>
          <w:b w:val="1"/>
          <w:bCs w:val="1"/>
          <w:color w:val="auto"/>
        </w:rPr>
        <w:t>SELLING SHAREHOLDERS</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spacing w:after="0" w:line="18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________, 2026, assuming exercise of the warrants held by the selling shareholders on that date, without regard to any limitations on exercises.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third column lists the shares of common stock being offered by this prospectus by the selling shareholders.</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Under the terms of the warrants, a selling shareholder may not exercise the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260" w:type="dxa"/>
            <w:vAlign w:val="bottom"/>
            <w:gridSpan w:val="4"/>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280" w:type="dxa"/>
            <w:vAlign w:val="bottom"/>
          </w:tcPr>
          <w:p>
            <w:pPr>
              <w:spacing w:after="0"/>
              <w:rPr>
                <w:sz w:val="13"/>
                <w:szCs w:val="13"/>
                <w:color w:val="auto"/>
              </w:rPr>
            </w:pPr>
          </w:p>
        </w:tc>
        <w:tc>
          <w:tcPr>
            <w:tcW w:w="2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 of</w:t>
            </w:r>
          </w:p>
        </w:tc>
        <w:tc>
          <w:tcPr>
            <w:tcW w:w="340" w:type="dxa"/>
            <w:vAlign w:val="bottom"/>
          </w:tcPr>
          <w:p>
            <w:pPr>
              <w:spacing w:after="0"/>
              <w:rPr>
                <w:sz w:val="13"/>
                <w:szCs w:val="13"/>
                <w:color w:val="auto"/>
              </w:rPr>
            </w:pPr>
          </w:p>
        </w:tc>
        <w:tc>
          <w:tcPr>
            <w:tcW w:w="1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shares of Common</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ind w:left="60"/>
              <w:spacing w:after="0" w:line="148" w:lineRule="exact"/>
              <w:rPr>
                <w:sz w:val="20"/>
                <w:szCs w:val="20"/>
                <w:color w:val="auto"/>
              </w:rPr>
            </w:pPr>
            <w:r>
              <w:rPr>
                <w:rFonts w:ascii="Times New Roman" w:cs="Times New Roman" w:eastAsia="Times New Roman" w:hAnsi="Times New Roman"/>
                <w:sz w:val="14"/>
                <w:szCs w:val="14"/>
                <w:b w:val="1"/>
                <w:bCs w:val="1"/>
                <w:color w:val="auto"/>
              </w:rPr>
              <w:t>to</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7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0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Owned Prior to Offering</w:t>
            </w:r>
          </w:p>
        </w:tc>
        <w:tc>
          <w:tcPr>
            <w:tcW w:w="280" w:type="dxa"/>
            <w:vAlign w:val="bottom"/>
          </w:tcPr>
          <w:p>
            <w:pPr>
              <w:spacing w:after="0"/>
              <w:rPr>
                <w:sz w:val="11"/>
                <w:szCs w:val="11"/>
                <w:color w:val="auto"/>
              </w:rPr>
            </w:pPr>
          </w:p>
        </w:tc>
        <w:tc>
          <w:tcPr>
            <w:tcW w:w="21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 to be Sold Pursuant</w:t>
            </w:r>
          </w:p>
        </w:tc>
        <w:tc>
          <w:tcPr>
            <w:tcW w:w="2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Stock Owned After Offering</w:t>
            </w:r>
          </w:p>
        </w:tc>
        <w:tc>
          <w:tcPr>
            <w:tcW w:w="0" w:type="dxa"/>
            <w:vAlign w:val="bottom"/>
          </w:tcPr>
          <w:p>
            <w:pPr>
              <w:spacing w:after="0"/>
              <w:rPr>
                <w:sz w:val="1"/>
                <w:szCs w:val="1"/>
                <w:color w:val="auto"/>
              </w:rPr>
            </w:pPr>
          </w:p>
        </w:tc>
      </w:tr>
      <w:tr>
        <w:trPr>
          <w:trHeight w:val="128"/>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Shareholder</w:t>
            </w:r>
          </w:p>
        </w:tc>
        <w:tc>
          <w:tcPr>
            <w:tcW w:w="1520" w:type="dxa"/>
            <w:vAlign w:val="bottom"/>
            <w:tcBorders>
              <w:top w:val="single" w:sz="8" w:color="auto"/>
            </w:tcBorders>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3"/>
          </w:tcPr>
          <w:p>
            <w:pPr>
              <w:jc w:val="center"/>
              <w:ind w:right="668"/>
              <w:spacing w:after="0" w:line="129" w:lineRule="exact"/>
              <w:rPr>
                <w:sz w:val="20"/>
                <w:szCs w:val="20"/>
                <w:color w:val="auto"/>
              </w:rPr>
            </w:pPr>
            <w:r>
              <w:rPr>
                <w:rFonts w:ascii="Times New Roman" w:cs="Times New Roman" w:eastAsia="Times New Roman" w:hAnsi="Times New Roman"/>
                <w:sz w:val="14"/>
                <w:szCs w:val="14"/>
                <w:b w:val="1"/>
                <w:bCs w:val="1"/>
                <w:color w:val="auto"/>
              </w:rPr>
              <w:t>this Prospectus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120" w:type="dxa"/>
            <w:vAlign w:val="bottom"/>
            <w:gridSpan w:val="3"/>
            <w:vMerge w:val="continue"/>
          </w:tcPr>
          <w:p>
            <w:pPr>
              <w:spacing w:after="0"/>
              <w:rPr>
                <w:sz w:val="6"/>
                <w:szCs w:val="6"/>
                <w:color w:val="auto"/>
              </w:rPr>
            </w:pPr>
          </w:p>
        </w:tc>
        <w:tc>
          <w:tcPr>
            <w:tcW w:w="1520" w:type="dxa"/>
            <w:vAlign w:val="bottom"/>
            <w:tcBorders>
              <w:top w:val="single" w:sz="8" w:color="auto"/>
            </w:tcBorders>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476885</wp:posOffset>
            </wp:positionV>
            <wp:extent cx="71583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20"/>
          </w:cols>
          <w:pgMar w:left="420" w:top="1406" w:right="559" w:bottom="1440" w:gutter="0" w:footer="0" w:header="0"/>
        </w:sectPr>
      </w:pPr>
    </w:p>
    <w:bookmarkStart w:id="157" w:name="page158"/>
    <w:bookmarkEnd w:id="157"/>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ARCADIA BIOSCIENCES, INC.,</w:t>
      </w:r>
    </w:p>
    <w:p>
      <w:pPr>
        <w:spacing w:after="0" w:line="20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Selling Stockholder Notice and Questionnaire</w:t>
      </w:r>
    </w:p>
    <w:p>
      <w:pPr>
        <w:spacing w:after="0" w:line="20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The undersigned beneficial owner of common stock (the “</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18"/>
          <w:szCs w:val="18"/>
          <w:color w:val="auto"/>
        </w:rPr>
        <w:t>Arcadia Biosciences,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understands that the Company has filed or intends to file with the Securities and Exchange Commission (the “</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a registration statement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for the registration and resale under Rule 415 of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of the Registrable Securities, in accordance with the terms of the Registration Rights Agreement (the “</w:t>
      </w: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6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w:t>
      </w:r>
    </w:p>
    <w:p>
      <w:pPr>
        <w:spacing w:after="0" w:line="209"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2"/>
          <w:szCs w:val="22"/>
          <w:color w:val="auto"/>
        </w:rPr>
        <w:t>The undersigned beneficial owner (the “</w:t>
      </w:r>
      <w:r>
        <w:rPr>
          <w:rFonts w:ascii="Times New Roman" w:cs="Times New Roman" w:eastAsia="Times New Roman" w:hAnsi="Times New Roman"/>
          <w:sz w:val="22"/>
          <w:szCs w:val="22"/>
          <w:u w:val="single" w:color="auto"/>
          <w:color w:val="auto"/>
        </w:rPr>
        <w:t>Selling Stockholder</w:t>
      </w:r>
      <w:r>
        <w:rPr>
          <w:rFonts w:ascii="Times New Roman" w:cs="Times New Roman" w:eastAsia="Times New Roman" w:hAnsi="Times New Roman"/>
          <w:sz w:val="22"/>
          <w:szCs w:val="22"/>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997585</wp:posOffset>
            </wp:positionV>
            <wp:extent cx="71583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55" w:lineRule="auto"/>
        <w:rPr>
          <w:sz w:val="20"/>
          <w:szCs w:val="20"/>
          <w:color w:val="auto"/>
        </w:rPr>
      </w:pPr>
      <w:r>
        <w:rPr>
          <w:rFonts w:ascii="Times New Roman" w:cs="Times New Roman" w:eastAsia="Times New Roman" w:hAnsi="Times New Roman"/>
          <w:sz w:val="22"/>
          <w:szCs w:val="22"/>
          <w:color w:val="auto"/>
        </w:rPr>
        <w:t>The undersigned hereby provides the following information to the Company and represents and warrants that such information is accurate: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QUESTIONNAIRE</w:t>
      </w:r>
    </w:p>
    <w:p>
      <w:pPr>
        <w:spacing w:after="0" w:line="205" w:lineRule="exact"/>
        <w:rPr>
          <w:sz w:val="20"/>
          <w:szCs w:val="20"/>
          <w:color w:val="auto"/>
        </w:rPr>
      </w:pPr>
    </w:p>
    <w:p>
      <w:pPr>
        <w:ind w:left="440" w:hanging="432"/>
        <w:spacing w:after="0"/>
        <w:tabs>
          <w:tab w:leader="none" w:pos="44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w:t>
      </w:r>
    </w:p>
    <w:p>
      <w:pPr>
        <w:spacing w:after="0" w:line="208" w:lineRule="exact"/>
        <w:rPr>
          <w:rFonts w:ascii="Times New Roman" w:cs="Times New Roman" w:eastAsia="Times New Roman" w:hAnsi="Times New Roman"/>
          <w:sz w:val="22"/>
          <w:szCs w:val="22"/>
          <w:b w:val="1"/>
          <w:bCs w:val="1"/>
          <w:color w:val="auto"/>
        </w:rPr>
      </w:pPr>
    </w:p>
    <w:p>
      <w:pPr>
        <w:ind w:left="860" w:hanging="421"/>
        <w:spacing w:after="0"/>
        <w:tabs>
          <w:tab w:leader="none" w:pos="8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Legal Name of Selling Stockholder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5" w:lineRule="exact"/>
        <w:rPr>
          <w:rFonts w:ascii="Times New Roman" w:cs="Times New Roman" w:eastAsia="Times New Roman" w:hAnsi="Times New Roman"/>
          <w:sz w:val="22"/>
          <w:szCs w:val="22"/>
          <w:color w:val="auto"/>
        </w:rPr>
      </w:pPr>
    </w:p>
    <w:p>
      <w:pPr>
        <w:ind w:left="860" w:hanging="421"/>
        <w:spacing w:after="0"/>
        <w:tabs>
          <w:tab w:leader="none" w:pos="8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5" w:lineRule="exact"/>
        <w:rPr>
          <w:rFonts w:ascii="Times New Roman" w:cs="Times New Roman" w:eastAsia="Times New Roman" w:hAnsi="Times New Roman"/>
          <w:sz w:val="22"/>
          <w:szCs w:val="22"/>
          <w:color w:val="auto"/>
        </w:rPr>
      </w:pPr>
    </w:p>
    <w:p>
      <w:pPr>
        <w:ind w:left="1500" w:right="60" w:hanging="1061"/>
        <w:spacing w:after="0" w:line="255" w:lineRule="auto"/>
        <w:tabs>
          <w:tab w:leader="none" w:pos="86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5" w:lineRule="exact"/>
        <w:rPr>
          <w:rFonts w:ascii="Times New Roman" w:cs="Times New Roman" w:eastAsia="Times New Roman" w:hAnsi="Times New Roman"/>
          <w:sz w:val="22"/>
          <w:szCs w:val="22"/>
          <w:color w:val="auto"/>
        </w:rPr>
      </w:pPr>
    </w:p>
    <w:p>
      <w:pPr>
        <w:ind w:left="280" w:hanging="272"/>
        <w:spacing w:after="0"/>
        <w:tabs>
          <w:tab w:leader="none" w:pos="28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-2269490</wp:posOffset>
            </wp:positionV>
            <wp:extent cx="61696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696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-1508125</wp:posOffset>
            </wp:positionV>
            <wp:extent cx="61696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696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-593090</wp:posOffset>
            </wp:positionV>
            <wp:extent cx="61696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6966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304165</wp:posOffset>
            </wp:positionV>
            <wp:extent cx="70554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5548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466725</wp:posOffset>
            </wp:positionV>
            <wp:extent cx="70554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55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-151130</wp:posOffset>
            </wp:positionV>
            <wp:extent cx="70554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55485"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color w:val="auto"/>
        </w:rPr>
        <w:t>E-Mail:</w:t>
      </w:r>
    </w:p>
    <w:p>
      <w:pPr>
        <w:ind w:left="220"/>
        <w:spacing w:after="0"/>
        <w:rPr>
          <w:sz w:val="20"/>
          <w:szCs w:val="20"/>
          <w:color w:val="auto"/>
        </w:rPr>
      </w:pPr>
      <w:r>
        <w:rPr>
          <w:rFonts w:ascii="Times New Roman" w:cs="Times New Roman" w:eastAsia="Times New Roman" w:hAnsi="Times New Roman"/>
          <w:sz w:val="22"/>
          <w:szCs w:val="22"/>
          <w:color w:val="auto"/>
        </w:rPr>
        <w:t>Contact Person:</w:t>
      </w:r>
    </w:p>
    <w:p>
      <w:pPr>
        <w:spacing w:after="0" w:line="204" w:lineRule="exact"/>
        <w:rPr>
          <w:sz w:val="20"/>
          <w:szCs w:val="20"/>
          <w:color w:val="auto"/>
        </w:rPr>
      </w:pPr>
    </w:p>
    <w:p>
      <w:pPr>
        <w:ind w:left="280" w:hanging="272"/>
        <w:spacing w:after="0"/>
        <w:tabs>
          <w:tab w:leader="none" w:pos="28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Broker-Dealer Status:</w:t>
      </w:r>
    </w:p>
    <w:p>
      <w:pPr>
        <w:spacing w:after="0" w:line="208" w:lineRule="exact"/>
        <w:rPr>
          <w:rFonts w:ascii="Times New Roman" w:cs="Times New Roman" w:eastAsia="Times New Roman" w:hAnsi="Times New Roman"/>
          <w:sz w:val="22"/>
          <w:szCs w:val="22"/>
          <w:b w:val="1"/>
          <w:bCs w:val="1"/>
          <w:color w:val="auto"/>
        </w:rPr>
      </w:pPr>
    </w:p>
    <w:p>
      <w:pPr>
        <w:ind w:left="1180" w:right="8220" w:hanging="741"/>
        <w:spacing w:after="0" w:line="434" w:lineRule="auto"/>
        <w:tabs>
          <w:tab w:leader="none" w:pos="862"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you a broker-dealer? Yes No</w:t>
      </w:r>
    </w:p>
    <w:p>
      <w:pPr>
        <w:ind w:left="1500" w:hanging="1061"/>
        <w:spacing w:after="0" w:line="255" w:lineRule="auto"/>
        <w:tabs>
          <w:tab w:leader="none" w:pos="86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“yes” to Section 3(a), did you receive your Registrable Securities as compensation for investment banking services to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YesNo</w:t>
            </w:r>
          </w:p>
        </w:tc>
      </w:tr>
      <w:tr>
        <w:trPr>
          <w:trHeight w:val="420"/>
        </w:trPr>
        <w:tc>
          <w:tcPr>
            <w:tcW w:w="10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Note:</w:t>
            </w:r>
          </w:p>
        </w:tc>
        <w:tc>
          <w:tcPr>
            <w:tcW w:w="1018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If “no” to Section 3(b), the Commission’s staff has indicated that you should be identified as an underwriter in the</w:t>
            </w:r>
          </w:p>
        </w:tc>
      </w:tr>
      <w:tr>
        <w:trPr>
          <w:trHeight w:val="280"/>
        </w:trPr>
        <w:tc>
          <w:tcPr>
            <w:tcW w:w="1060" w:type="dxa"/>
            <w:vAlign w:val="bottom"/>
          </w:tcPr>
          <w:p>
            <w:pPr>
              <w:spacing w:after="0"/>
              <w:rPr>
                <w:sz w:val="24"/>
                <w:szCs w:val="24"/>
                <w:color w:val="auto"/>
              </w:rPr>
            </w:pPr>
          </w:p>
        </w:tc>
        <w:tc>
          <w:tcPr>
            <w:tcW w:w="101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Registration Statement.</w:t>
            </w:r>
          </w:p>
        </w:tc>
      </w:tr>
      <w:tr>
        <w:trPr>
          <w:trHeight w:val="862"/>
        </w:trPr>
        <w:tc>
          <w:tcPr>
            <w:tcW w:w="10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w:t>
            </w:r>
          </w:p>
        </w:tc>
        <w:tc>
          <w:tcPr>
            <w:tcW w:w="10180" w:type="dxa"/>
            <w:vAlign w:val="bottom"/>
          </w:tcPr>
          <w:p>
            <w:pPr>
              <w:spacing w:after="0"/>
              <w:rPr>
                <w:sz w:val="24"/>
                <w:szCs w:val="24"/>
                <w:color w:val="auto"/>
              </w:rPr>
            </w:pPr>
          </w:p>
        </w:tc>
      </w:tr>
      <w:tr>
        <w:trPr>
          <w:trHeight w:val="751"/>
        </w:trPr>
        <w:tc>
          <w:tcPr>
            <w:tcW w:w="1060" w:type="dxa"/>
            <w:vAlign w:val="bottom"/>
            <w:tcBorders>
              <w:bottom w:val="single" w:sz="8" w:color="9A9A9A"/>
            </w:tcBorders>
          </w:tcPr>
          <w:p>
            <w:pPr>
              <w:spacing w:after="0"/>
              <w:rPr>
                <w:sz w:val="24"/>
                <w:szCs w:val="24"/>
                <w:color w:val="auto"/>
              </w:rPr>
            </w:pPr>
          </w:p>
        </w:tc>
        <w:tc>
          <w:tcPr>
            <w:tcW w:w="10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59" w:name="page160"/>
    <w:bookmarkEnd w:id="159"/>
    <w:p>
      <w:pPr>
        <w:ind w:left="1180" w:right="7000" w:hanging="741"/>
        <w:spacing w:after="0" w:line="434" w:lineRule="auto"/>
        <w:tabs>
          <w:tab w:leader="none" w:pos="862"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you an affiliate of a broker-dealer? Yes No</w:t>
      </w:r>
    </w:p>
    <w:p>
      <w:pPr>
        <w:ind w:left="1500" w:hanging="1061"/>
        <w:spacing w:after="0" w:line="242" w:lineRule="auto"/>
        <w:tabs>
          <w:tab w:leader="none" w:pos="86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ectPr>
          <w:pgSz w:w="11900" w:h="16838" w:orient="portrait"/>
          <w:cols w:equalWidth="0" w:num="1">
            <w:col w:w="11240"/>
          </w:cols>
          <w:pgMar w:left="320" w:top="1405" w:right="339" w:bottom="1440" w:gutter="0" w:footer="0" w:header="0"/>
        </w:sectPr>
      </w:pP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Yes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t>
      </w:r>
    </w:p>
    <w:p>
      <w:pPr>
        <w:spacing w:after="0" w:line="200" w:lineRule="exact"/>
        <w:rPr>
          <w:sz w:val="20"/>
          <w:szCs w:val="20"/>
          <w:color w:val="auto"/>
        </w:rPr>
      </w:pPr>
    </w:p>
    <w:p>
      <w:pPr>
        <w:sectPr>
          <w:pgSz w:w="11900" w:h="16838" w:orient="portrait"/>
          <w:cols w:equalWidth="0" w:num="2">
            <w:col w:w="1520" w:space="520"/>
            <w:col w:w="9200"/>
          </w:cols>
          <w:pgMar w:left="320" w:top="1405" w:right="339"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Note:</w:t>
      </w:r>
    </w:p>
    <w:p>
      <w:pPr>
        <w:spacing w:after="0" w:line="20" w:lineRule="exact"/>
        <w:rPr>
          <w:sz w:val="20"/>
          <w:szCs w:val="20"/>
          <w:color w:val="auto"/>
        </w:rPr>
      </w:pPr>
      <w:r>
        <w:rPr>
          <w:sz w:val="20"/>
          <w:szCs w:val="20"/>
          <w:color w:val="auto"/>
        </w:rPr>
        <w:br w:type="column"/>
      </w:r>
    </w:p>
    <w:p>
      <w:pPr>
        <w:ind w:right="20" w:hanging="204"/>
        <w:spacing w:after="0" w:line="255" w:lineRule="auto"/>
        <w:rPr>
          <w:sz w:val="20"/>
          <w:szCs w:val="20"/>
          <w:color w:val="auto"/>
        </w:rPr>
      </w:pPr>
      <w:r>
        <w:rPr>
          <w:rFonts w:ascii="Times New Roman" w:cs="Times New Roman" w:eastAsia="Times New Roman" w:hAnsi="Times New Roman"/>
          <w:sz w:val="22"/>
          <w:szCs w:val="22"/>
          <w:color w:val="auto"/>
        </w:rPr>
        <w:t>If “no” to Section 3(d), the Commission’s staff has indicated that you should be identified as an underwriter in the Registration Statement.</w:t>
      </w:r>
    </w:p>
    <w:p>
      <w:pPr>
        <w:spacing w:after="0" w:line="159" w:lineRule="exact"/>
        <w:rPr>
          <w:sz w:val="20"/>
          <w:szCs w:val="20"/>
          <w:color w:val="auto"/>
        </w:rPr>
      </w:pPr>
    </w:p>
    <w:p>
      <w:pPr>
        <w:sectPr>
          <w:pgSz w:w="11900" w:h="16838" w:orient="portrait"/>
          <w:cols w:equalWidth="0" w:num="2">
            <w:col w:w="920" w:space="580"/>
            <w:col w:w="9740"/>
          </w:cols>
          <w:pgMar w:left="320" w:top="140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4. Beneficial Ownership of Securities of the Company Owned by the Selling Stockholder.</w:t>
      </w:r>
    </w:p>
    <w:p>
      <w:pPr>
        <w:spacing w:after="0" w:line="205" w:lineRule="exact"/>
        <w:rPr>
          <w:sz w:val="20"/>
          <w:szCs w:val="20"/>
          <w:color w:val="auto"/>
        </w:rPr>
      </w:pPr>
    </w:p>
    <w:p>
      <w:pPr>
        <w:ind w:left="760"/>
        <w:spacing w:after="0" w:line="259" w:lineRule="auto"/>
        <w:rPr>
          <w:sz w:val="20"/>
          <w:szCs w:val="20"/>
          <w:color w:val="auto"/>
        </w:rPr>
      </w:pPr>
      <w:r>
        <w:rPr>
          <w:rFonts w:ascii="Times New Roman" w:cs="Times New Roman" w:eastAsia="Times New Roman" w:hAnsi="Times New Roman"/>
          <w:sz w:val="22"/>
          <w:szCs w:val="22"/>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58"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0"/>
          <w:szCs w:val="20"/>
          <w:color w:val="auto"/>
        </w:rPr>
        <w:t>Type and Amount of other securities beneficially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301625</wp:posOffset>
            </wp:positionV>
            <wp:extent cx="61696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696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464185</wp:posOffset>
            </wp:positionV>
            <wp:extent cx="61696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69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b w:val="1"/>
          <w:bCs w:val="1"/>
          <w:color w:val="auto"/>
        </w:rPr>
        <w:t>5. Relationships with the Company:</w:t>
      </w:r>
    </w:p>
    <w:p>
      <w:pPr>
        <w:spacing w:after="0" w:line="205"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301625</wp:posOffset>
            </wp:positionV>
            <wp:extent cx="66281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28130"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464185</wp:posOffset>
            </wp:positionV>
            <wp:extent cx="66281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28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By signing below, the undersigned consents to the disclosure of the information contained herein in its answers to Items 1 through 5 and the inclusion of such information in the Registration Statement and the related prospectus </w:t>
      </w:r>
      <w:r>
        <w:rPr>
          <w:rFonts w:ascii="Times New Roman" w:cs="Times New Roman" w:eastAsia="Times New Roman" w:hAnsi="Times New Roman"/>
          <w:sz w:val="19"/>
          <w:szCs w:val="19"/>
          <w:color w:val="auto"/>
        </w:rPr>
        <w:t>and any amendments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supplements thereto</w:t>
      </w:r>
      <w:r>
        <w:rPr>
          <w:rFonts w:ascii="Times New Roman" w:cs="Times New Roman" w:eastAsia="Times New Roman" w:hAnsi="Times New Roman"/>
          <w:sz w:val="21"/>
          <w:szCs w:val="21"/>
          <w:color w:val="auto"/>
        </w:rPr>
        <w:t>. The undersigned understands that such information will be relied upon by the Company in connection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the preparation or amendment of the Registration Statement and the related prospectus and any amendments or supplements thereto.</w:t>
      </w:r>
    </w:p>
    <w:p>
      <w:pPr>
        <w:spacing w:after="0" w:line="18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IN WITNESS WHEREOF the undersigned, by authority duly given, has caused this Notice and Questionnaire to be executed and delivered either in person or by its duly authorized agent.</w:t>
      </w:r>
    </w:p>
    <w:p>
      <w:pPr>
        <w:spacing w:after="0" w:line="1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-14605</wp:posOffset>
            </wp:positionV>
            <wp:extent cx="2165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6535" cy="8255"/>
                    </a:xfrm>
                    <a:prstGeom prst="rect">
                      <a:avLst/>
                    </a:prstGeom>
                    <a:noFill/>
                  </pic:spPr>
                </pic:pic>
              </a:graphicData>
            </a:graphic>
          </wp:anchor>
        </w:drawing>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-14605</wp:posOffset>
            </wp:positionV>
            <wp:extent cx="2736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22"/>
          <w:szCs w:val="22"/>
          <w:color w:val="auto"/>
        </w:rPr>
        <w:t>Name:</w:t>
      </w:r>
    </w:p>
    <w:p>
      <w:pPr>
        <w:ind w:left="1300"/>
        <w:spacing w:after="0"/>
        <w:rPr>
          <w:sz w:val="20"/>
          <w:szCs w:val="20"/>
          <w:color w:val="auto"/>
        </w:rPr>
      </w:pPr>
      <w:r>
        <w:rPr>
          <w:rFonts w:ascii="Times New Roman" w:cs="Times New Roman" w:eastAsia="Times New Roman" w:hAnsi="Times New Roman"/>
          <w:sz w:val="22"/>
          <w:szCs w:val="22"/>
          <w:color w:val="auto"/>
        </w:rPr>
        <w:t>Title: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PLEASE EMAIL A .PDF COPY OF THE COMPLETED AND EXECUTED NOTICE AND QUESTIONNAIRE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83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13335</wp:posOffset>
            </wp:positionV>
            <wp:extent cx="1094740" cy="795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94740" cy="79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Arcadia Biosciences (RKDA) Announces $4 Million Private Placement Priced At-The-Market Under Nasdaq Rules</w:t>
      </w:r>
    </w:p>
    <w:p>
      <w:pPr>
        <w:spacing w:after="0" w:line="214" w:lineRule="exact"/>
        <w:rPr>
          <w:sz w:val="20"/>
          <w:szCs w:val="20"/>
          <w:color w:val="auto"/>
        </w:rPr>
      </w:pPr>
    </w:p>
    <w:p>
      <w:pPr>
        <w:spacing w:after="0" w:line="232" w:lineRule="auto"/>
        <w:rPr>
          <w:sz w:val="20"/>
          <w:szCs w:val="20"/>
          <w:color w:val="auto"/>
        </w:rPr>
      </w:pPr>
      <w:r>
        <w:rPr>
          <w:rFonts w:ascii="Arial" w:cs="Arial" w:eastAsia="Arial" w:hAnsi="Arial"/>
          <w:sz w:val="19"/>
          <w:szCs w:val="19"/>
          <w:b w:val="1"/>
          <w:bCs w:val="1"/>
          <w:color w:val="auto"/>
        </w:rPr>
        <w:t xml:space="preserve">DALLAS, June 11, 2026 </w:t>
      </w:r>
      <w:r>
        <w:rPr>
          <w:rFonts w:ascii="Arial" w:cs="Arial" w:eastAsia="Arial" w:hAnsi="Arial"/>
          <w:sz w:val="19"/>
          <w:szCs w:val="19"/>
          <w:color w:val="auto"/>
        </w:rPr>
        <w:t>- Arcadia Biosciences, Inc.</w:t>
      </w:r>
      <w:r>
        <w:rPr>
          <w:rFonts w:ascii="Arial" w:cs="Arial" w:eastAsia="Arial" w:hAnsi="Arial"/>
          <w:sz w:val="25"/>
          <w:szCs w:val="25"/>
          <w:color w:val="1155CC"/>
          <w:vertAlign w:val="superscript"/>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(Nasdaq: RKDA), a producer and marketer of innovative wellness</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announced today that it has entered into securities purchase agreements for the purchase and sale of 3,883,496 shares of its common stock (or pre-funded warrants in lieu thereof), Series A-1 preferred investment options to purchase up to an aggregate of 3,883,496 shares of common stock and Series A-2 preferred investment options to purchase up to an aggregate of 3,883,496 shares of common stock at a purchase price of $1.03 per share of common stock (or pre-funded warrant in lieu thereof) and associated preferred investment options in a private placement priced at-the-market under Nasdaq rules.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H.C. Wainwright &amp; Co. is acting as the exclusive placement agent for the offering.</w:t>
      </w:r>
    </w:p>
    <w:p>
      <w:pPr>
        <w:spacing w:after="0" w:line="201"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auto"/>
        </w:rPr>
        <w:t>The Series A-1 preferred investment options will have an exercise price of $0.91 per share, will be exercisable beginning on the effective date of stockholder approval of the issuance of the shares of common stock upon exercise of the Series A-1 preferred investment options and will expire five years from the effective date of stockholder approval. The Series A-2 preferred investment options will have an exercise price of $0.91 per share, will be exercisable immediately upon issuance and will expire twenty-four months from the effective date of the Resale Registration Statement (as defined below).</w:t>
      </w:r>
    </w:p>
    <w:p>
      <w:pPr>
        <w:spacing w:after="0" w:line="177"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The aggregate gross proceeds to the company from the offering are expected to be approximately $4 million before deducting placement agent fees and other offering expenses. Arcadia intends to use the net proceeds from the offering for working capital and general corporate purposes.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offering is expected to close on or about June 12, 2026, subject to the satisfaction of customary closing conditions.</w:t>
      </w:r>
    </w:p>
    <w:p>
      <w:pPr>
        <w:spacing w:after="0" w:line="201"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The securities described above were offered in a private placement under Section 4(a)(2) of the Securities Act of 1933, as amended (the “Act”), and Regulation D promulgated thereunder and, along with the shares of common stock underlying the Series A-1 preferred investment options and Series A-2 preferred investment options, have not been registered under the Act or applicable state securities laws. Accordingly, the securities may not be offered or sold in the United States absent registration with the SEC or an applicable exemption from such registration requirements. Pursuant to a registration rights agreement, the Company has agreed to file one or more registration statements with the SEC covering the resale of the unregistered securities to be issued in the offering (the “Resale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83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62" w:name="page163"/>
    <w:bookmarkEnd w:id="162"/>
    <w:p>
      <w:pPr>
        <w:ind w:right="60"/>
        <w:spacing w:after="0" w:line="239" w:lineRule="auto"/>
        <w:rPr>
          <w:sz w:val="20"/>
          <w:szCs w:val="20"/>
          <w:color w:val="auto"/>
        </w:rPr>
      </w:pPr>
      <w:r>
        <w:rPr>
          <w:rFonts w:ascii="Arial" w:cs="Arial" w:eastAsia="Arial" w:hAnsi="Arial"/>
          <w:sz w:val="20"/>
          <w:szCs w:val="20"/>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Arcadia Biosciences, Inc.</w:t>
      </w:r>
    </w:p>
    <w:p>
      <w:pPr>
        <w:spacing w:after="0" w:line="6"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111111"/>
        </w:rPr>
        <w:t xml:space="preserve">Since 2002, Arcadia Biosciences (Nasdaq: RKDA) has been innovating high-value, healthy ingredients to meet consumer demands for healthier choices. With its roots in agricultural innovation, Arcadia cultivates next-generation wellness products. For more information, visit </w:t>
      </w:r>
      <w:r>
        <w:rPr>
          <w:rFonts w:ascii="Arial" w:cs="Arial" w:eastAsia="Arial" w:hAnsi="Arial"/>
          <w:sz w:val="20"/>
          <w:szCs w:val="20"/>
          <w:color w:val="000000"/>
        </w:rPr>
        <w:t>www.arcadiabio.com</w:t>
      </w:r>
      <w:r>
        <w:rPr>
          <w:rFonts w:ascii="Arial" w:cs="Arial" w:eastAsia="Arial" w:hAnsi="Arial"/>
          <w:sz w:val="20"/>
          <w:szCs w:val="20"/>
          <w:color w:val="111111"/>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These statements relate to future events or future results of operations concerning the company and its products, including, but not limited to, statements concerning the following matters: the completion of the offering; the satisfaction of customary closing conditions related to the offering; the receipt of any required stockholder approvals; and the anticipated use of proceeds from the offering. Undue reliance should not be placed on any forward-looking statements. Forward-looking statements are only predictions and are subject to known and unknown risks and uncertainties that could cause actual results to differ materially from the results anticipated by such forward-looking statements. These risks and uncertainties include, but are not limited to, the risks set forth in filings that the company makes with the Securities and Exchange Commission from time to time, including in Arcadia’s Annual Report on Form 10-K for the year ended December 31, 2025 (the 2025 Form 10-K), and other filings that the company makes with the SEC. Forward-looking statements concerning anticipated future activities also assume that the company has sufficient funding to continue its operations and planned activities, which may not be the case. As described in greater detail in the 2025 Form 10-K, the company may require additional funding in the future to continue its operations and planned activities. There are no assurances that required funding will be available at all or will be available in sufficient amounts or on reasonable terms. The company may seek to raise additional funds through equity or debt financings, through transactions involving its other assets, or through other transactions. Any sale of additional equity securities could result in dilution to company stockholders. Reported results should not be considered as an indication of future performance. Forward-looking statements made in this press release speak only as of the date hereof, and except as required by law, Arcadia Biosciences, Inc. disclaims any obligation to update these forward-looking statements or to reflect events or circumstances arising after the date of this press release.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Arcadia Biosciences Contact:</w:t>
      </w:r>
    </w:p>
    <w:p>
      <w:pPr>
        <w:spacing w:after="0" w:line="230" w:lineRule="auto"/>
        <w:rPr>
          <w:sz w:val="20"/>
          <w:szCs w:val="20"/>
          <w:color w:val="auto"/>
        </w:rPr>
      </w:pPr>
      <w:r>
        <w:rPr>
          <w:rFonts w:ascii="Arial" w:cs="Arial" w:eastAsia="Arial" w:hAnsi="Arial"/>
          <w:sz w:val="20"/>
          <w:szCs w:val="20"/>
          <w:color w:val="auto"/>
        </w:rPr>
        <w:t>T.J. Schaefer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4472C4"/>
        </w:rPr>
        <w:t>ir@arcadiabio.com</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83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13335</wp:posOffset>
            </wp:positionV>
            <wp:extent cx="1094740" cy="795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94740" cy="79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69" w:lineRule="auto"/>
        <w:rPr>
          <w:sz w:val="20"/>
          <w:szCs w:val="20"/>
          <w:color w:val="auto"/>
        </w:rPr>
      </w:pPr>
      <w:r>
        <w:rPr>
          <w:rFonts w:ascii="Arial" w:cs="Arial" w:eastAsia="Arial" w:hAnsi="Arial"/>
          <w:sz w:val="20"/>
          <w:szCs w:val="20"/>
          <w:b w:val="1"/>
          <w:bCs w:val="1"/>
          <w:color w:val="auto"/>
        </w:rPr>
        <w:t>Arcadia Biosciences (RKDA) Announces Closing of $4 Million Private Placement Priced At-The-Market Under Nasdaq Rules</w:t>
      </w:r>
    </w:p>
    <w:p>
      <w:pPr>
        <w:spacing w:after="0" w:line="144"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b w:val="1"/>
          <w:bCs w:val="1"/>
          <w:color w:val="auto"/>
        </w:rPr>
        <w:t xml:space="preserve">DALLAS, June 12, 2026 </w:t>
      </w:r>
      <w:r>
        <w:rPr>
          <w:rFonts w:ascii="Arial" w:cs="Arial" w:eastAsia="Arial" w:hAnsi="Arial"/>
          <w:sz w:val="20"/>
          <w:szCs w:val="20"/>
          <w:color w:val="auto"/>
        </w:rPr>
        <w:t>- Arcadia Biosciences, Inc.</w:t>
      </w:r>
      <w:r>
        <w:rPr>
          <w:rFonts w:ascii="Arial" w:cs="Arial" w:eastAsia="Arial" w:hAnsi="Arial"/>
          <w:sz w:val="26"/>
          <w:szCs w:val="26"/>
          <w:color w:val="1155CC"/>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(Nasdaq: RKDA), a producer and marketer of innovative wellness</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announced today the closing of its previously announced private placement priced at-the-market under Nasdaq rules for the purchase and sale of 3,883,496 shares of its common stock (or pre-funded warrants in lieu thereof), Series A-1 preferred investment options to purchase up to an aggregate of 3,883,496 shares of common stock and Series A-2 preferred investment options to purchase up to an aggregate of 3,883,496 shares of common stock at a purchase price of $1.03 per share of common stock (or pre-funded warrant in lieu thereof) and associated preferred investment options.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H.C. Wainwright &amp; Co. acted as the exclusive placement agent for the offering.</w:t>
      </w:r>
    </w:p>
    <w:p>
      <w:pPr>
        <w:spacing w:after="0" w:line="201"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The Series A-1 preferred investment options have an exercise price of $0.91 per share, will be exercisable beginning on the effective date of stockholder approval of the issuance of the shares of common stock upon exercise of the Series A-1 preferred investment options and will expire five years from the effective date of stockholder approval. The Series A-2 preferred investment options have an exercise price of $0.91 per share, are exercisable immediately upon issuance and will expire twenty-four months from the effective date of the Resale Registration Statement (as defined below).</w:t>
      </w:r>
    </w:p>
    <w:p>
      <w:pPr>
        <w:spacing w:after="0" w:line="177" w:lineRule="exact"/>
        <w:rPr>
          <w:sz w:val="20"/>
          <w:szCs w:val="20"/>
          <w:color w:val="auto"/>
        </w:rPr>
      </w:pPr>
    </w:p>
    <w:p>
      <w:pPr>
        <w:ind w:right="500"/>
        <w:spacing w:after="0" w:line="239" w:lineRule="auto"/>
        <w:rPr>
          <w:sz w:val="20"/>
          <w:szCs w:val="20"/>
          <w:color w:val="auto"/>
        </w:rPr>
      </w:pPr>
      <w:r>
        <w:rPr>
          <w:rFonts w:ascii="Arial" w:cs="Arial" w:eastAsia="Arial" w:hAnsi="Arial"/>
          <w:sz w:val="20"/>
          <w:szCs w:val="20"/>
          <w:color w:val="auto"/>
        </w:rPr>
        <w:t>The aggregate gross proceeds to the company from the offering were approximately $ 4 million before deducting placement agent fees and other offering expenses. Arcadia intends to use the net proceeds from the offering for working capital and general corporate purposes.</w:t>
      </w:r>
    </w:p>
    <w:p>
      <w:pPr>
        <w:spacing w:after="0" w:line="175"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The securities described above were offered in a private placement under Section 4(a)(2) of the Securities Act of 1933, as amended (the “Act”), and Regulation D promulgated thereunder and, along with the shares of common stock underlying the Series A-1 preferred investment options and Series A-2 preferred investment options, have not been registered under the Act or applicable state securities laws. Accordingly, the securities may not be offered or sold in the United States absent registration with the SEC or an applicable exemption from such registration requirements. Pursuant to a registration rights agreement, the Company has agreed to file one or more registration statements with the SEC covering the resale of the unregistered securities to be issued in the offering (the “Resale Registration Statement”).</w:t>
      </w:r>
    </w:p>
    <w:p>
      <w:pPr>
        <w:spacing w:after="0" w:line="174"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83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64" w:name="page165"/>
    <w:bookmarkEnd w:id="164"/>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Arcadia Biosciences, Inc.</w:t>
      </w:r>
    </w:p>
    <w:p>
      <w:pPr>
        <w:spacing w:after="0" w:line="6"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111111"/>
        </w:rPr>
        <w:t xml:space="preserve">Since 2002, Arcadia Biosciences (Nasdaq: RKDA) has been innovating high-value, healthy ingredients to meet consumer demands for healthier choices. With its roots in agricultural innovation, Arcadia cultivates next-generation wellness products. For more information, visit </w:t>
      </w:r>
      <w:r>
        <w:rPr>
          <w:rFonts w:ascii="Arial" w:cs="Arial" w:eastAsia="Arial" w:hAnsi="Arial"/>
          <w:sz w:val="20"/>
          <w:szCs w:val="20"/>
          <w:color w:val="000000"/>
        </w:rPr>
        <w:t>www.arcadiabio.com</w:t>
      </w:r>
      <w:r>
        <w:rPr>
          <w:rFonts w:ascii="Arial" w:cs="Arial" w:eastAsia="Arial" w:hAnsi="Arial"/>
          <w:sz w:val="20"/>
          <w:szCs w:val="20"/>
          <w:color w:val="111111"/>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These statements relate to future events or future results of operations concerning the company and its products, including, but not limited to, statements concerning the following matters: the receipt of any required stockholder approvals; and the anticipated use of proceeds from the offering. Undue reliance should not be placed on any forward-looking statements. Forward-looking statements are only predictions and are subject to known and unknown risks and uncertainties that could cause actual results to differ materially from the results anticipated by such forward-looking statements. These risks and uncertainties include, but are not limited to, the risks set forth in filings that the company makes with the Securities and Exchange Commission from time to time, including in Arcadia’s Annual Report on Form 10-K for the year ended December 31, 2025 (the 2025 Form 10-K), and other filings that the company makes with the SEC. Forward-looking statements concerning anticipated future activities also assume that the company has sufficient funding to continue its operations and planned activities, which may not be the case. As described in greater detail in the 2025 Form 10-K, the company may require additional funding in the future to continue its operations and planned activities. There are no assurances that required funding will be available at all or will be available in sufficient amounts or on reasonable terms. The company may seek to raise additional funds through equity or debt financings, through transactions involving its other assets, or through other transactions. Any sale of additional equity securities could result in dilution to company stockholders. Reported results should not be considered as an indication of future performance. Forward-looking statements made in this press release speak only as of the date hereof, and except as required by law, Arcadia Biosciences, Inc. disclaims any obligation to update these forward-looking statements or to reflect events or circumstances arising after the date of this press release.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Arcadia Biosciences Contact:</w:t>
      </w:r>
    </w:p>
    <w:p>
      <w:pPr>
        <w:spacing w:after="0" w:line="230" w:lineRule="auto"/>
        <w:rPr>
          <w:sz w:val="20"/>
          <w:szCs w:val="20"/>
          <w:color w:val="auto"/>
        </w:rPr>
      </w:pPr>
      <w:r>
        <w:rPr>
          <w:rFonts w:ascii="Arial" w:cs="Arial" w:eastAsia="Arial" w:hAnsi="Arial"/>
          <w:sz w:val="20"/>
          <w:szCs w:val="20"/>
          <w:color w:val="auto"/>
        </w:rPr>
        <w:t>T.J. Schaefer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4472C4"/>
        </w:rPr>
        <w:t>ir@arcadiabio.com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83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1)"/>
      <w:numFmt w:val="lowerLetter"/>
      <w:start w:val="1"/>
    </w:lvl>
  </w:abstractNum>
  <w:abstractNum w:abstractNumId="2">
    <w:nsid w:val="1716703B"/>
    <w:multiLevelType w:val="hybridMultilevel"/>
    <w:lvl w:ilvl="0">
      <w:lvlJc w:val="left"/>
      <w:lvlText w:val="%1)"/>
      <w:numFmt w:val="lowerLetter"/>
      <w:start w:val="2"/>
    </w:lvl>
    <w:lvl w:ilvl="1">
      <w:lvlJc w:val="left"/>
      <w:lvlText w:val="(%2)"/>
      <w:numFmt w:val="upperLetter"/>
      <w:start w:val="1"/>
    </w:lvl>
  </w:abstractNum>
  <w:abstractNum w:abstractNumId="3">
    <w:nsid w:val="14E17E33"/>
    <w:multiLevelType w:val="hybridMultilevel"/>
    <w:lvl w:ilvl="0">
      <w:lvlJc w:val="left"/>
      <w:lvlText w:val="(%1)"/>
      <w:numFmt w:val="upperLetter"/>
      <w:start w:val="2"/>
    </w:lvl>
    <w:lvl w:ilvl="1">
      <w:lvlJc w:val="left"/>
      <w:lvlText w:val="%2"/>
      <w:numFmt w:val="upperLetter"/>
      <w:start w:val="1"/>
    </w:lvl>
  </w:abstractNum>
  <w:abstractNum w:abstractNumId="4">
    <w:nsid w:val="3222E7CD"/>
    <w:multiLevelType w:val="hybridMultilevel"/>
    <w:lvl w:ilvl="0">
      <w:lvlJc w:val="left"/>
      <w:lvlText w:val="(%1)"/>
      <w:numFmt w:val="upperLetter"/>
      <w:start w:val="24"/>
    </w:lvl>
    <w:lvl w:ilvl="1">
      <w:lvlJc w:val="left"/>
      <w:lvlText w:val="%2"/>
      <w:numFmt w:val="upperLetter"/>
      <w:start w:val="1"/>
    </w:lvl>
  </w:abstractNum>
  <w:abstractNum w:abstractNumId="5">
    <w:nsid w:val="74DE0EE3"/>
    <w:multiLevelType w:val="hybridMultilevel"/>
    <w:lvl w:ilvl="0">
      <w:lvlJc w:val="left"/>
      <w:lvlText w:val="%1)"/>
      <w:numFmt w:val="lowerLetter"/>
      <w:start w:val="4"/>
    </w:lvl>
    <w:lvl w:ilvl="1">
      <w:lvlJc w:val="left"/>
      <w:lvlText w:val="%2."/>
      <w:numFmt w:val="lowerRoman"/>
      <w:start w:val="1"/>
    </w:lvl>
  </w:abstractNum>
  <w:abstractNum w:abstractNumId="6">
    <w:nsid w:val="68EBC550"/>
    <w:multiLevelType w:val="hybridMultilevel"/>
    <w:lvl w:ilvl="0">
      <w:lvlJc w:val="left"/>
      <w:lvlText w:val="%1."/>
      <w:numFmt w:val="lowerRoman"/>
      <w:start w:val="2"/>
    </w:lvl>
  </w:abstractNum>
  <w:abstractNum w:abstractNumId="7">
    <w:nsid w:val="2DF6D648"/>
    <w:multiLevelType w:val="hybridMultilevel"/>
    <w:lvl w:ilvl="0">
      <w:lvlJc w:val="left"/>
      <w:lvlText w:val="%1."/>
      <w:numFmt w:val="lowerRoman"/>
      <w:start w:val="3"/>
    </w:lvl>
  </w:abstractNum>
  <w:abstractNum w:abstractNumId="8">
    <w:nsid w:val="46B7D447"/>
    <w:multiLevelType w:val="hybridMultilevel"/>
    <w:lvl w:ilvl="0">
      <w:lvlJc w:val="left"/>
      <w:lvlText w:val="%1."/>
      <w:numFmt w:val="lowerRoman"/>
      <w:start w:val="5"/>
    </w:lvl>
  </w:abstractNum>
  <w:abstractNum w:abstractNumId="9">
    <w:nsid w:val="4A2AC315"/>
    <w:multiLevelType w:val="hybridMultilevel"/>
    <w:lvl w:ilvl="0">
      <w:lvlJc w:val="left"/>
      <w:lvlText w:val="%1."/>
      <w:numFmt w:val="lowerRoman"/>
      <w:start w:val="6"/>
    </w:lvl>
  </w:abstractNum>
  <w:abstractNum w:abstractNumId="10">
    <w:nsid w:val="39EE015C"/>
    <w:multiLevelType w:val="hybridMultilevel"/>
    <w:lvl w:ilvl="0">
      <w:lvlJc w:val="left"/>
      <w:lvlText w:val="%1"/>
      <w:numFmt w:val="lowerLetter"/>
      <w:start w:val="1"/>
    </w:lvl>
    <w:lvl w:ilvl="1">
      <w:lvlJc w:val="left"/>
      <w:lvlText w:val="%2."/>
      <w:numFmt w:val="lowerRoman"/>
      <w:start w:val="7"/>
    </w:lvl>
  </w:abstractNum>
  <w:abstractNum w:abstractNumId="11">
    <w:nsid w:val="57FC4FBB"/>
    <w:multiLevelType w:val="hybridMultilevel"/>
    <w:lvl w:ilvl="0">
      <w:lvlJc w:val="left"/>
      <w:lvlText w:val="%1)"/>
      <w:numFmt w:val="lowerLetter"/>
      <w:start w:val="5"/>
    </w:lvl>
    <w:lvl w:ilvl="1">
      <w:lvlJc w:val="left"/>
      <w:lvlText w:val="%2"/>
      <w:numFmt w:val="lowerRoman"/>
      <w:start w:val="1"/>
    </w:lvl>
  </w:abstractNum>
  <w:abstractNum w:abstractNumId="12">
    <w:nsid w:val="CC1016F"/>
    <w:multiLevelType w:val="hybridMultilevel"/>
    <w:lvl w:ilvl="0">
      <w:lvlJc w:val="left"/>
      <w:lvlText w:val="%1)"/>
      <w:numFmt w:val="lowerLetter"/>
      <w:start w:val="1"/>
    </w:lvl>
  </w:abstractNum>
  <w:abstractNum w:abstractNumId="13">
    <w:nsid w:val="43F18422"/>
    <w:multiLevelType w:val="hybridMultilevel"/>
    <w:lvl w:ilvl="0">
      <w:lvlJc w:val="left"/>
      <w:lvlText w:val="%1)"/>
      <w:numFmt w:val="lowerLetter"/>
      <w:start w:val="4"/>
    </w:lvl>
  </w:abstractNum>
  <w:abstractNum w:abstractNumId="14">
    <w:nsid w:val="60EF0119"/>
    <w:multiLevelType w:val="hybridMultilevel"/>
    <w:lvl w:ilvl="0">
      <w:lvlJc w:val="left"/>
      <w:lvlText w:val="%1)"/>
      <w:numFmt w:val="lowerLetter"/>
      <w:start w:val="5"/>
    </w:lvl>
  </w:abstractNum>
  <w:abstractNum w:abstractNumId="15">
    <w:nsid w:val="26F324BA"/>
    <w:multiLevelType w:val="hybridMultilevel"/>
    <w:lvl w:ilvl="0">
      <w:lvlJc w:val="left"/>
      <w:lvlText w:val="%1."/>
      <w:numFmt w:val="lowerRoman"/>
      <w:start w:val="1"/>
    </w:lvl>
  </w:abstractNum>
  <w:abstractNum w:abstractNumId="16">
    <w:nsid w:val="7F01579B"/>
    <w:multiLevelType w:val="hybridMultilevel"/>
    <w:lvl w:ilvl="0">
      <w:lvlJc w:val="left"/>
      <w:lvlText w:val="%1."/>
      <w:numFmt w:val="lowerRoman"/>
      <w:start w:val="2"/>
    </w:lvl>
  </w:abstractNum>
  <w:abstractNum w:abstractNumId="17">
    <w:nsid w:val="49DA307D"/>
    <w:multiLevelType w:val="hybridMultilevel"/>
    <w:lvl w:ilvl="0">
      <w:lvlJc w:val="left"/>
      <w:lvlText w:val="%1)"/>
      <w:numFmt w:val="lowerLetter"/>
      <w:start w:val="1"/>
    </w:lvl>
  </w:abstractNum>
  <w:abstractNum w:abstractNumId="18">
    <w:nsid w:val="7055A5F5"/>
    <w:multiLevelType w:val="hybridMultilevel"/>
    <w:lvl w:ilvl="0">
      <w:lvlJc w:val="left"/>
      <w:lvlText w:val="%1)"/>
      <w:numFmt w:val="lowerLetter"/>
      <w:start w:val="5"/>
    </w:lvl>
  </w:abstractNum>
  <w:abstractNum w:abstractNumId="19">
    <w:nsid w:val="5FB8370B"/>
    <w:multiLevelType w:val="hybridMultilevel"/>
    <w:lvl w:ilvl="0">
      <w:lvlJc w:val="left"/>
      <w:lvlText w:val="%1)"/>
      <w:numFmt w:val="lowerLetter"/>
      <w:start w:val="1"/>
    </w:lvl>
  </w:abstractNum>
  <w:abstractNum w:abstractNumId="20">
    <w:nsid w:val="50801EE1"/>
    <w:multiLevelType w:val="hybridMultilevel"/>
    <w:lvl w:ilvl="0">
      <w:lvlJc w:val="left"/>
      <w:lvlText w:val="%1)"/>
      <w:numFmt w:val="lowerLetter"/>
      <w:start w:val="5"/>
    </w:lvl>
  </w:abstractNum>
  <w:abstractNum w:abstractNumId="21">
    <w:nsid w:val="488AC1A"/>
    <w:multiLevelType w:val="hybridMultilevel"/>
    <w:lvl w:ilvl="0">
      <w:lvlJc w:val="left"/>
      <w:lvlText w:val="%1)"/>
      <w:numFmt w:val="lowerLetter"/>
      <w:start w:val="8"/>
    </w:lvl>
  </w:abstractNum>
  <w:abstractNum w:abstractNumId="22">
    <w:nsid w:val="5FB8011C"/>
    <w:multiLevelType w:val="hybridMultilevel"/>
    <w:lvl w:ilvl="0">
      <w:lvlJc w:val="left"/>
      <w:lvlText w:val="(%1)"/>
      <w:numFmt w:val="decimal"/>
      <w:start w:val="1"/>
    </w:lvl>
  </w:abstractNum>
  <w:abstractNum w:abstractNumId="23">
    <w:nsid w:val="6AA78F7F"/>
    <w:multiLevelType w:val="hybridMultilevel"/>
    <w:lvl w:ilvl="0">
      <w:lvlJc w:val="left"/>
      <w:lvlText w:val="(%1)"/>
      <w:numFmt w:val="decimal"/>
      <w:start w:val="2"/>
    </w:lvl>
    <w:lvl w:ilvl="1">
      <w:lvlJc w:val="left"/>
      <w:lvlText w:val="["/>
      <w:numFmt w:val="bullet"/>
      <w:start w:val="1"/>
    </w:lvl>
  </w:abstractNum>
  <w:abstractNum w:abstractNumId="24">
    <w:nsid w:val="7672BD23"/>
    <w:multiLevelType w:val="hybridMultilevel"/>
    <w:lvl w:ilvl="0">
      <w:lvlJc w:val="left"/>
      <w:lvlText w:val="(%1)"/>
      <w:numFmt w:val="decimal"/>
      <w:start w:val="4"/>
    </w:lvl>
  </w:abstractNum>
  <w:abstractNum w:abstractNumId="25">
    <w:nsid w:val="6FC75AF8"/>
    <w:multiLevelType w:val="hybridMultilevel"/>
    <w:lvl w:ilvl="0">
      <w:lvlJc w:val="left"/>
      <w:lvlText w:val="%1"/>
      <w:numFmt w:val="decimal"/>
      <w:start w:val="1"/>
    </w:lvl>
    <w:lvl w:ilvl="1">
      <w:lvlJc w:val="left"/>
      <w:lvlText w:val="%2)"/>
      <w:numFmt w:val="lowerLetter"/>
      <w:start w:val="1"/>
    </w:lvl>
  </w:abstractNum>
  <w:abstractNum w:abstractNumId="26">
    <w:nsid w:val="6A5F7029"/>
    <w:multiLevelType w:val="hybridMultilevel"/>
    <w:lvl w:ilvl="0">
      <w:lvlJc w:val="left"/>
      <w:lvlText w:val="(%1)"/>
      <w:numFmt w:val="decimal"/>
      <w:start w:val="1"/>
    </w:lvl>
    <w:lvl w:ilvl="1">
      <w:lvlJc w:val="left"/>
      <w:lvlText w:val="%2"/>
      <w:numFmt w:val="lowerLetter"/>
      <w:start w:val="1"/>
    </w:lvl>
  </w:abstractNum>
  <w:abstractNum w:abstractNumId="27">
    <w:nsid w:val="7D5E18F8"/>
    <w:multiLevelType w:val="hybridMultilevel"/>
    <w:lvl w:ilvl="0">
      <w:lvlJc w:val="left"/>
      <w:lvlText w:val="%1)"/>
      <w:numFmt w:val="lowerLetter"/>
      <w:start w:val="2"/>
    </w:lvl>
    <w:lvl w:ilvl="1">
      <w:lvlJc w:val="left"/>
      <w:lvlText w:val="(%2)"/>
      <w:numFmt w:val="upperLetter"/>
      <w:start w:val="1"/>
    </w:lvl>
  </w:abstractNum>
  <w:abstractNum w:abstractNumId="28">
    <w:nsid w:val="5F3534A4"/>
    <w:multiLevelType w:val="hybridMultilevel"/>
    <w:lvl w:ilvl="0">
      <w:lvlJc w:val="left"/>
      <w:lvlText w:val="(%1)"/>
      <w:numFmt w:val="upperLetter"/>
      <w:start w:val="2"/>
    </w:lvl>
    <w:lvl w:ilvl="1">
      <w:lvlJc w:val="left"/>
      <w:lvlText w:val="%2"/>
      <w:numFmt w:val="upperLetter"/>
      <w:start w:val="1"/>
    </w:lvl>
  </w:abstractNum>
  <w:abstractNum w:abstractNumId="29">
    <w:nsid w:val="73A1821B"/>
    <w:multiLevelType w:val="hybridMultilevel"/>
    <w:lvl w:ilvl="0">
      <w:lvlJc w:val="left"/>
      <w:lvlText w:val="(%1)"/>
      <w:numFmt w:val="upperLetter"/>
      <w:start w:val="24"/>
    </w:lvl>
    <w:lvl w:ilvl="1">
      <w:lvlJc w:val="left"/>
      <w:lvlText w:val="%2"/>
      <w:numFmt w:val="upperLetter"/>
      <w:start w:val="1"/>
    </w:lvl>
  </w:abstractNum>
  <w:abstractNum w:abstractNumId="30">
    <w:nsid w:val="7DE67713"/>
    <w:multiLevelType w:val="hybridMultilevel"/>
    <w:lvl w:ilvl="0">
      <w:lvlJc w:val="left"/>
      <w:lvlText w:val="(%1)"/>
      <w:numFmt w:val="lowerLetter"/>
      <w:start w:val="4"/>
    </w:lvl>
  </w:abstractNum>
  <w:abstractNum w:abstractNumId="31">
    <w:nsid w:val="555C55B5"/>
    <w:multiLevelType w:val="hybridMultilevel"/>
    <w:lvl w:ilvl="0">
      <w:lvlJc w:val="left"/>
      <w:lvlText w:val="%1)"/>
      <w:numFmt w:val="lowerLetter"/>
      <w:start w:val="4"/>
    </w:lvl>
    <w:lvl w:ilvl="1">
      <w:lvlJc w:val="left"/>
      <w:lvlText w:val="%2."/>
      <w:numFmt w:val="lowerRoman"/>
      <w:start w:val="1"/>
    </w:lvl>
  </w:abstractNum>
  <w:abstractNum w:abstractNumId="32">
    <w:nsid w:val="3FA62ACA"/>
    <w:multiLevelType w:val="hybridMultilevel"/>
    <w:lvl w:ilvl="0">
      <w:lvlJc w:val="left"/>
      <w:lvlText w:val="%1."/>
      <w:numFmt w:val="lowerRoman"/>
      <w:start w:val="2"/>
    </w:lvl>
  </w:abstractNum>
  <w:abstractNum w:abstractNumId="33">
    <w:nsid w:val="14FCE74E"/>
    <w:multiLevelType w:val="hybridMultilevel"/>
    <w:lvl w:ilvl="0">
      <w:lvlJc w:val="left"/>
      <w:lvlText w:val="%1."/>
      <w:numFmt w:val="lowerRoman"/>
      <w:start w:val="3"/>
    </w:lvl>
  </w:abstractNum>
  <w:abstractNum w:abstractNumId="34">
    <w:nsid w:val="6A3DD3E8"/>
    <w:multiLevelType w:val="hybridMultilevel"/>
    <w:lvl w:ilvl="0">
      <w:lvlJc w:val="left"/>
      <w:lvlText w:val="%1."/>
      <w:numFmt w:val="lowerRoman"/>
      <w:start w:val="5"/>
    </w:lvl>
  </w:abstractNum>
  <w:abstractNum w:abstractNumId="35">
    <w:nsid w:val="71C91298"/>
    <w:multiLevelType w:val="hybridMultilevel"/>
    <w:lvl w:ilvl="0">
      <w:lvlJc w:val="left"/>
      <w:lvlText w:val="%1."/>
      <w:numFmt w:val="lowerRoman"/>
      <w:start w:val="6"/>
    </w:lvl>
  </w:abstractNum>
  <w:abstractNum w:abstractNumId="36">
    <w:nsid w:val="9DAF632"/>
    <w:multiLevelType w:val="hybridMultilevel"/>
    <w:lvl w:ilvl="0">
      <w:lvlJc w:val="left"/>
      <w:lvlText w:val="%1"/>
      <w:numFmt w:val="lowerLetter"/>
      <w:start w:val="1"/>
    </w:lvl>
    <w:lvl w:ilvl="1">
      <w:lvlJc w:val="left"/>
      <w:lvlText w:val="%2."/>
      <w:numFmt w:val="lowerRoman"/>
      <w:start w:val="7"/>
    </w:lvl>
  </w:abstractNum>
  <w:abstractNum w:abstractNumId="37">
    <w:nsid w:val="53299938"/>
    <w:multiLevelType w:val="hybridMultilevel"/>
    <w:lvl w:ilvl="0">
      <w:lvlJc w:val="left"/>
      <w:lvlText w:val="%1)"/>
      <w:numFmt w:val="lowerLetter"/>
      <w:start w:val="5"/>
    </w:lvl>
    <w:lvl w:ilvl="1">
      <w:lvlJc w:val="left"/>
      <w:lvlText w:val="%2"/>
      <w:numFmt w:val="lowerRoman"/>
      <w:start w:val="1"/>
    </w:lvl>
  </w:abstractNum>
  <w:abstractNum w:abstractNumId="38">
    <w:nsid w:val="1FBFE8E0"/>
    <w:multiLevelType w:val="hybridMultilevel"/>
    <w:lvl w:ilvl="0">
      <w:lvlJc w:val="left"/>
      <w:lvlText w:val="%1)"/>
      <w:numFmt w:val="lowerLetter"/>
      <w:start w:val="1"/>
    </w:lvl>
  </w:abstractNum>
  <w:abstractNum w:abstractNumId="39">
    <w:nsid w:val="5092CA79"/>
    <w:multiLevelType w:val="hybridMultilevel"/>
    <w:lvl w:ilvl="0">
      <w:lvlJc w:val="left"/>
      <w:lvlText w:val="%1)"/>
      <w:numFmt w:val="lowerLetter"/>
      <w:start w:val="3"/>
    </w:lvl>
  </w:abstractNum>
  <w:abstractNum w:abstractNumId="40">
    <w:nsid w:val="1D545C4D"/>
    <w:multiLevelType w:val="hybridMultilevel"/>
    <w:lvl w:ilvl="0">
      <w:lvlJc w:val="left"/>
      <w:lvlText w:val="%1)"/>
      <w:numFmt w:val="lowerLetter"/>
      <w:start w:val="5"/>
    </w:lvl>
  </w:abstractNum>
  <w:abstractNum w:abstractNumId="41">
    <w:nsid w:val="59ADEA3D"/>
    <w:multiLevelType w:val="hybridMultilevel"/>
    <w:lvl w:ilvl="0">
      <w:lvlJc w:val="left"/>
      <w:lvlText w:val="%1."/>
      <w:numFmt w:val="lowerRoman"/>
      <w:start w:val="1"/>
    </w:lvl>
  </w:abstractNum>
  <w:abstractNum w:abstractNumId="42">
    <w:nsid w:val="288F1A34"/>
    <w:multiLevelType w:val="hybridMultilevel"/>
    <w:lvl w:ilvl="0">
      <w:lvlJc w:val="left"/>
      <w:lvlText w:val="%1."/>
      <w:numFmt w:val="lowerRoman"/>
      <w:start w:val="2"/>
    </w:lvl>
  </w:abstractNum>
  <w:abstractNum w:abstractNumId="43">
    <w:nsid w:val="2A155DBC"/>
    <w:multiLevelType w:val="hybridMultilevel"/>
    <w:lvl w:ilvl="0">
      <w:lvlJc w:val="left"/>
      <w:lvlText w:val="%1)"/>
      <w:numFmt w:val="lowerLetter"/>
      <w:start w:val="7"/>
    </w:lvl>
  </w:abstractNum>
  <w:abstractNum w:abstractNumId="44">
    <w:nsid w:val="1D9F6E5F"/>
    <w:multiLevelType w:val="hybridMultilevel"/>
    <w:lvl w:ilvl="0">
      <w:lvlJc w:val="left"/>
      <w:lvlText w:val="%1)"/>
      <w:numFmt w:val="lowerLetter"/>
      <w:start w:val="1"/>
    </w:lvl>
  </w:abstractNum>
  <w:abstractNum w:abstractNumId="45">
    <w:nsid w:val="97E1B4E"/>
    <w:multiLevelType w:val="hybridMultilevel"/>
    <w:lvl w:ilvl="0">
      <w:lvlJc w:val="left"/>
      <w:lvlText w:val="%1"/>
      <w:numFmt w:val="lowerRoman"/>
      <w:start w:val="1"/>
    </w:lvl>
    <w:lvl w:ilvl="1">
      <w:lvlJc w:val="left"/>
      <w:lvlText w:val="%2)"/>
      <w:numFmt w:val="lowerLetter"/>
      <w:start w:val="2"/>
    </w:lvl>
  </w:abstractNum>
  <w:abstractNum w:abstractNumId="46">
    <w:nsid w:val="51088277"/>
    <w:multiLevelType w:val="hybridMultilevel"/>
    <w:lvl w:ilvl="0">
      <w:lvlJc w:val="left"/>
      <w:lvlText w:val="(%1)"/>
      <w:numFmt w:val="lowerRoman"/>
      <w:start w:val="1"/>
    </w:lvl>
    <w:lvl w:ilvl="1">
      <w:lvlJc w:val="left"/>
      <w:lvlText w:val="%2)"/>
      <w:numFmt w:val="lowerLetter"/>
      <w:start w:val="5"/>
    </w:lvl>
  </w:abstractNum>
  <w:abstractNum w:abstractNumId="47">
    <w:nsid w:val="1CA0C5FA"/>
    <w:multiLevelType w:val="hybridMultilevel"/>
    <w:lvl w:ilvl="0">
      <w:lvlJc w:val="left"/>
      <w:lvlText w:val="%1)"/>
      <w:numFmt w:val="lowerLetter"/>
      <w:start w:val="1"/>
    </w:lvl>
  </w:abstractNum>
  <w:abstractNum w:abstractNumId="48">
    <w:nsid w:val="53584BCB"/>
    <w:multiLevelType w:val="hybridMultilevel"/>
    <w:lvl w:ilvl="0">
      <w:lvlJc w:val="left"/>
      <w:lvlText w:val="%1)"/>
      <w:numFmt w:val="lowerLetter"/>
      <w:start w:val="5"/>
    </w:lvl>
  </w:abstractNum>
  <w:abstractNum w:abstractNumId="49">
    <w:nsid w:val="415E286C"/>
    <w:multiLevelType w:val="hybridMultilevel"/>
    <w:lvl w:ilvl="0">
      <w:lvlJc w:val="left"/>
      <w:lvlText w:val="%1)"/>
      <w:numFmt w:val="lowerLetter"/>
      <w:start w:val="8"/>
    </w:lvl>
  </w:abstractNum>
  <w:abstractNum w:abstractNumId="50">
    <w:nsid w:val="7C58FD05"/>
    <w:multiLevelType w:val="hybridMultilevel"/>
    <w:lvl w:ilvl="0">
      <w:lvlJc w:val="left"/>
      <w:lvlText w:val="(%1)"/>
      <w:numFmt w:val="decimal"/>
      <w:start w:val="1"/>
    </w:lvl>
  </w:abstractNum>
  <w:abstractNum w:abstractNumId="51">
    <w:nsid w:val="23D86AAC"/>
    <w:multiLevelType w:val="hybridMultilevel"/>
    <w:lvl w:ilvl="0">
      <w:lvlJc w:val="left"/>
      <w:lvlText w:val="(%1)"/>
      <w:numFmt w:val="decimal"/>
      <w:start w:val="2"/>
    </w:lvl>
    <w:lvl w:ilvl="1">
      <w:lvlJc w:val="left"/>
      <w:lvlText w:val="["/>
      <w:numFmt w:val="bullet"/>
      <w:start w:val="1"/>
    </w:lvl>
  </w:abstractNum>
  <w:abstractNum w:abstractNumId="52">
    <w:nsid w:val="45E6D486"/>
    <w:multiLevelType w:val="hybridMultilevel"/>
    <w:lvl w:ilvl="0">
      <w:lvlJc w:val="left"/>
      <w:lvlText w:val="(%1)"/>
      <w:numFmt w:val="decimal"/>
      <w:start w:val="4"/>
    </w:lvl>
  </w:abstractNum>
  <w:abstractNum w:abstractNumId="53">
    <w:nsid w:val="5C10FE21"/>
    <w:multiLevelType w:val="hybridMultilevel"/>
    <w:lvl w:ilvl="0">
      <w:lvlJc w:val="left"/>
      <w:lvlText w:val="%1"/>
      <w:numFmt w:val="decimal"/>
      <w:start w:val="1"/>
    </w:lvl>
    <w:lvl w:ilvl="1">
      <w:lvlJc w:val="left"/>
      <w:lvlText w:val="%2)"/>
      <w:numFmt w:val="lowerLetter"/>
      <w:start w:val="1"/>
    </w:lvl>
  </w:abstractNum>
  <w:abstractNum w:abstractNumId="54">
    <w:nsid w:val="E7FFA2B"/>
    <w:multiLevelType w:val="hybridMultilevel"/>
    <w:lvl w:ilvl="0">
      <w:lvlJc w:val="left"/>
      <w:lvlText w:val="(%1)"/>
      <w:numFmt w:val="decimal"/>
      <w:start w:val="1"/>
    </w:lvl>
    <w:lvl w:ilvl="1">
      <w:lvlJc w:val="left"/>
      <w:lvlText w:val="%2"/>
      <w:numFmt w:val="lowerLetter"/>
      <w:start w:val="1"/>
    </w:lvl>
  </w:abstractNum>
  <w:abstractNum w:abstractNumId="55">
    <w:nsid w:val="3C5991AA"/>
    <w:multiLevelType w:val="hybridMultilevel"/>
    <w:lvl w:ilvl="0">
      <w:lvlJc w:val="left"/>
      <w:lvlText w:val="%1)"/>
      <w:numFmt w:val="lowerLetter"/>
      <w:start w:val="2"/>
    </w:lvl>
    <w:lvl w:ilvl="1">
      <w:lvlJc w:val="left"/>
      <w:lvlText w:val="(%2)"/>
      <w:numFmt w:val="upperLetter"/>
      <w:start w:val="1"/>
    </w:lvl>
  </w:abstractNum>
  <w:abstractNum w:abstractNumId="56">
    <w:nsid w:val="4BD8591A"/>
    <w:multiLevelType w:val="hybridMultilevel"/>
    <w:lvl w:ilvl="0">
      <w:lvlJc w:val="left"/>
      <w:lvlText w:val="(%1)"/>
      <w:numFmt w:val="upperLetter"/>
      <w:start w:val="2"/>
    </w:lvl>
    <w:lvl w:ilvl="1">
      <w:lvlJc w:val="left"/>
      <w:lvlText w:val="%2"/>
      <w:numFmt w:val="upperLetter"/>
      <w:start w:val="1"/>
    </w:lvl>
  </w:abstractNum>
  <w:abstractNum w:abstractNumId="57">
    <w:nsid w:val="78DF6A55"/>
    <w:multiLevelType w:val="hybridMultilevel"/>
    <w:lvl w:ilvl="0">
      <w:lvlJc w:val="left"/>
      <w:lvlText w:val="(%1)"/>
      <w:numFmt w:val="upperLetter"/>
      <w:start w:val="24"/>
    </w:lvl>
    <w:lvl w:ilvl="1">
      <w:lvlJc w:val="left"/>
      <w:lvlText w:val="%2"/>
      <w:numFmt w:val="upperLetter"/>
      <w:start w:val="1"/>
    </w:lvl>
  </w:abstractNum>
  <w:abstractNum w:abstractNumId="58">
    <w:nsid w:val="39B7AAA2"/>
    <w:multiLevelType w:val="hybridMultilevel"/>
    <w:lvl w:ilvl="0">
      <w:lvlJc w:val="left"/>
      <w:lvlText w:val="(%1)"/>
      <w:numFmt w:val="lowerLetter"/>
      <w:start w:val="4"/>
    </w:lvl>
  </w:abstractNum>
  <w:abstractNum w:abstractNumId="59">
    <w:nsid w:val="2B0D8DBE"/>
    <w:multiLevelType w:val="hybridMultilevel"/>
    <w:lvl w:ilvl="0">
      <w:lvlJc w:val="left"/>
      <w:lvlText w:val="%1)"/>
      <w:numFmt w:val="lowerLetter"/>
      <w:start w:val="4"/>
    </w:lvl>
    <w:lvl w:ilvl="1">
      <w:lvlJc w:val="left"/>
      <w:lvlText w:val="%2."/>
      <w:numFmt w:val="lowerRoman"/>
      <w:start w:val="1"/>
    </w:lvl>
  </w:abstractNum>
  <w:abstractNum w:abstractNumId="60">
    <w:nsid w:val="6C80EC70"/>
    <w:multiLevelType w:val="hybridMultilevel"/>
    <w:lvl w:ilvl="0">
      <w:lvlJc w:val="left"/>
      <w:lvlText w:val="%1."/>
      <w:numFmt w:val="lowerRoman"/>
      <w:start w:val="2"/>
    </w:lvl>
  </w:abstractNum>
  <w:abstractNum w:abstractNumId="61">
    <w:nsid w:val="379E21B5"/>
    <w:multiLevelType w:val="hybridMultilevel"/>
    <w:lvl w:ilvl="0">
      <w:lvlJc w:val="left"/>
      <w:lvlText w:val="%1."/>
      <w:numFmt w:val="lowerRoman"/>
      <w:start w:val="3"/>
    </w:lvl>
  </w:abstractNum>
  <w:abstractNum w:abstractNumId="62">
    <w:nsid w:val="69E373"/>
    <w:multiLevelType w:val="hybridMultilevel"/>
    <w:lvl w:ilvl="0">
      <w:lvlJc w:val="left"/>
      <w:lvlText w:val="%1."/>
      <w:numFmt w:val="lowerRoman"/>
      <w:start w:val="5"/>
    </w:lvl>
  </w:abstractNum>
  <w:abstractNum w:abstractNumId="63">
    <w:nsid w:val="2C27173B"/>
    <w:multiLevelType w:val="hybridMultilevel"/>
    <w:lvl w:ilvl="0">
      <w:lvlJc w:val="left"/>
      <w:lvlText w:val="%1."/>
      <w:numFmt w:val="lowerRoman"/>
      <w:start w:val="6"/>
    </w:lvl>
  </w:abstractNum>
  <w:abstractNum w:abstractNumId="64">
    <w:nsid w:val="4C9B0904"/>
    <w:multiLevelType w:val="hybridMultilevel"/>
    <w:lvl w:ilvl="0">
      <w:lvlJc w:val="left"/>
      <w:lvlText w:val="%1"/>
      <w:numFmt w:val="lowerLetter"/>
      <w:start w:val="1"/>
    </w:lvl>
    <w:lvl w:ilvl="1">
      <w:lvlJc w:val="left"/>
      <w:lvlText w:val="%2."/>
      <w:numFmt w:val="lowerRoman"/>
      <w:start w:val="7"/>
    </w:lvl>
  </w:abstractNum>
  <w:abstractNum w:abstractNumId="65">
    <w:nsid w:val="6AA7B75C"/>
    <w:multiLevelType w:val="hybridMultilevel"/>
    <w:lvl w:ilvl="0">
      <w:lvlJc w:val="left"/>
      <w:lvlText w:val="%1)"/>
      <w:numFmt w:val="lowerLetter"/>
      <w:start w:val="5"/>
    </w:lvl>
    <w:lvl w:ilvl="1">
      <w:lvlJc w:val="left"/>
      <w:lvlText w:val="%2"/>
      <w:numFmt w:val="lowerRoman"/>
      <w:start w:val="1"/>
    </w:lvl>
  </w:abstractNum>
  <w:abstractNum w:abstractNumId="66">
    <w:nsid w:val="1DF029D3"/>
    <w:multiLevelType w:val="hybridMultilevel"/>
    <w:lvl w:ilvl="0">
      <w:lvlJc w:val="left"/>
      <w:lvlText w:val="%1)"/>
      <w:numFmt w:val="lowerLetter"/>
      <w:start w:val="1"/>
    </w:lvl>
  </w:abstractNum>
  <w:abstractNum w:abstractNumId="67">
    <w:nsid w:val="5675FF36"/>
    <w:multiLevelType w:val="hybridMultilevel"/>
    <w:lvl w:ilvl="0">
      <w:lvlJc w:val="left"/>
      <w:lvlText w:val="%1)"/>
      <w:numFmt w:val="lowerLetter"/>
      <w:start w:val="3"/>
    </w:lvl>
  </w:abstractNum>
  <w:abstractNum w:abstractNumId="68">
    <w:nsid w:val="3DD15094"/>
    <w:multiLevelType w:val="hybridMultilevel"/>
    <w:lvl w:ilvl="0">
      <w:lvlJc w:val="left"/>
      <w:lvlText w:val="%1)"/>
      <w:numFmt w:val="lowerLetter"/>
      <w:start w:val="5"/>
    </w:lvl>
  </w:abstractNum>
  <w:abstractNum w:abstractNumId="69">
    <w:nsid w:val="3DB012B3"/>
    <w:multiLevelType w:val="hybridMultilevel"/>
    <w:lvl w:ilvl="0">
      <w:lvlJc w:val="left"/>
      <w:lvlText w:val="%1."/>
      <w:numFmt w:val="lowerRoman"/>
      <w:start w:val="1"/>
    </w:lvl>
  </w:abstractNum>
  <w:abstractNum w:abstractNumId="70">
    <w:nsid w:val="2708C9AF"/>
    <w:multiLevelType w:val="hybridMultilevel"/>
    <w:lvl w:ilvl="0">
      <w:lvlJc w:val="left"/>
      <w:lvlText w:val="%1."/>
      <w:numFmt w:val="lowerRoman"/>
      <w:start w:val="2"/>
    </w:lvl>
  </w:abstractNum>
  <w:abstractNum w:abstractNumId="71">
    <w:nsid w:val="5B25ACE2"/>
    <w:multiLevelType w:val="hybridMultilevel"/>
    <w:lvl w:ilvl="0">
      <w:lvlJc w:val="left"/>
      <w:lvlText w:val="%1)"/>
      <w:numFmt w:val="lowerLetter"/>
      <w:start w:val="1"/>
    </w:lvl>
  </w:abstractNum>
  <w:abstractNum w:abstractNumId="72">
    <w:nsid w:val="175DFCF0"/>
    <w:multiLevelType w:val="hybridMultilevel"/>
    <w:lvl w:ilvl="0">
      <w:lvlJc w:val="left"/>
      <w:lvlText w:val="%1"/>
      <w:numFmt w:val="lowerRoman"/>
      <w:start w:val="1"/>
    </w:lvl>
    <w:lvl w:ilvl="1">
      <w:lvlJc w:val="left"/>
      <w:lvlText w:val="%2)"/>
      <w:numFmt w:val="lowerLetter"/>
      <w:start w:val="2"/>
    </w:lvl>
  </w:abstractNum>
  <w:abstractNum w:abstractNumId="73">
    <w:nsid w:val="4F97E3E4"/>
    <w:multiLevelType w:val="hybridMultilevel"/>
    <w:lvl w:ilvl="0">
      <w:lvlJc w:val="left"/>
      <w:lvlText w:val="(%1)"/>
      <w:numFmt w:val="lowerRoman"/>
      <w:start w:val="1"/>
    </w:lvl>
    <w:lvl w:ilvl="1">
      <w:lvlJc w:val="left"/>
      <w:lvlText w:val="%2)"/>
      <w:numFmt w:val="lowerLetter"/>
      <w:start w:val="5"/>
    </w:lvl>
  </w:abstractNum>
  <w:abstractNum w:abstractNumId="74">
    <w:nsid w:val="53B0A9E"/>
    <w:multiLevelType w:val="hybridMultilevel"/>
    <w:lvl w:ilvl="0">
      <w:lvlJc w:val="left"/>
      <w:lvlText w:val="%1)"/>
      <w:numFmt w:val="lowerLetter"/>
      <w:start w:val="1"/>
    </w:lvl>
  </w:abstractNum>
  <w:abstractNum w:abstractNumId="75">
    <w:nsid w:val="34FD6B4F"/>
    <w:multiLevelType w:val="hybridMultilevel"/>
    <w:lvl w:ilvl="0">
      <w:lvlJc w:val="left"/>
      <w:lvlText w:val="%1)"/>
      <w:numFmt w:val="lowerLetter"/>
      <w:start w:val="2"/>
    </w:lvl>
  </w:abstractNum>
  <w:abstractNum w:abstractNumId="76">
    <w:nsid w:val="5915FF32"/>
    <w:multiLevelType w:val="hybridMultilevel"/>
    <w:lvl w:ilvl="0">
      <w:lvlJc w:val="left"/>
      <w:lvlText w:val="(%1)"/>
      <w:numFmt w:val="lowerRoman"/>
      <w:start w:val="3"/>
    </w:lvl>
  </w:abstractNum>
  <w:abstractNum w:abstractNumId="77">
    <w:nsid w:val="56438D15"/>
    <w:multiLevelType w:val="hybridMultilevel"/>
    <w:lvl w:ilvl="0">
      <w:lvlJc w:val="left"/>
      <w:lvlText w:val="%1)"/>
      <w:numFmt w:val="lowerLetter"/>
      <w:start w:val="5"/>
    </w:lvl>
  </w:abstractNum>
  <w:abstractNum w:abstractNumId="78">
    <w:nsid w:val="519E3149"/>
    <w:multiLevelType w:val="hybridMultilevel"/>
    <w:lvl w:ilvl="0">
      <w:lvlJc w:val="left"/>
      <w:lvlText w:val="%1)"/>
      <w:numFmt w:val="lowerLetter"/>
      <w:start w:val="9"/>
    </w:lvl>
  </w:abstractNum>
  <w:abstractNum w:abstractNumId="79">
    <w:nsid w:val="2C6E4AFD"/>
    <w:multiLevelType w:val="hybridMultilevel"/>
    <w:lvl w:ilvl="0">
      <w:lvlJc w:val="left"/>
      <w:lvlText w:val="(%1)"/>
      <w:numFmt w:val="decimal"/>
      <w:start w:val="1"/>
    </w:lvl>
  </w:abstractNum>
  <w:abstractNum w:abstractNumId="80">
    <w:nsid w:val="17A1B582"/>
    <w:multiLevelType w:val="hybridMultilevel"/>
    <w:lvl w:ilvl="0">
      <w:lvlJc w:val="left"/>
      <w:lvlText w:val="(%1)"/>
      <w:numFmt w:val="decimal"/>
      <w:start w:val="2"/>
    </w:lvl>
    <w:lvl w:ilvl="1">
      <w:lvlJc w:val="left"/>
      <w:lvlText w:val="["/>
      <w:numFmt w:val="bullet"/>
      <w:start w:val="1"/>
    </w:lvl>
  </w:abstractNum>
  <w:abstractNum w:abstractNumId="81">
    <w:nsid w:val="4DF72E4E"/>
    <w:multiLevelType w:val="hybridMultilevel"/>
    <w:lvl w:ilvl="0">
      <w:lvlJc w:val="left"/>
      <w:lvlText w:val="(%1)"/>
      <w:numFmt w:val="decimal"/>
      <w:start w:val="4"/>
    </w:lvl>
  </w:abstractNum>
  <w:abstractNum w:abstractNumId="82">
    <w:nsid w:val="5046B5A9"/>
    <w:multiLevelType w:val="hybridMultilevel"/>
    <w:lvl w:ilvl="0">
      <w:lvlJc w:val="left"/>
      <w:lvlText w:val="%1)"/>
      <w:numFmt w:val="lowerLetter"/>
      <w:start w:val="1"/>
    </w:lvl>
  </w:abstractNum>
  <w:abstractNum w:abstractNumId="83">
    <w:nsid w:val="5D888A08"/>
    <w:multiLevelType w:val="hybridMultilevel"/>
    <w:lvl w:ilvl="0">
      <w:lvlJc w:val="left"/>
      <w:lvlText w:val="%1)"/>
      <w:numFmt w:val="lowerLetter"/>
      <w:start w:val="2"/>
    </w:lvl>
    <w:lvl w:ilvl="1">
      <w:lvlJc w:val="left"/>
      <w:lvlText w:val="(%2)"/>
      <w:numFmt w:val="upperLetter"/>
      <w:start w:val="1"/>
    </w:lvl>
  </w:abstractNum>
  <w:abstractNum w:abstractNumId="84">
    <w:nsid w:val="2A082C70"/>
    <w:multiLevelType w:val="hybridMultilevel"/>
    <w:lvl w:ilvl="0">
      <w:lvlJc w:val="left"/>
      <w:lvlText w:val="(%1)"/>
      <w:numFmt w:val="upperLetter"/>
      <w:start w:val="2"/>
    </w:lvl>
    <w:lvl w:ilvl="1">
      <w:lvlJc w:val="left"/>
      <w:lvlText w:val="%2"/>
      <w:numFmt w:val="upperLetter"/>
      <w:start w:val="1"/>
    </w:lvl>
  </w:abstractNum>
  <w:abstractNum w:abstractNumId="85">
    <w:nsid w:val="5EC6AFD4"/>
    <w:multiLevelType w:val="hybridMultilevel"/>
    <w:lvl w:ilvl="0">
      <w:lvlJc w:val="left"/>
      <w:lvlText w:val="(%1)"/>
      <w:numFmt w:val="upperLetter"/>
      <w:start w:val="24"/>
    </w:lvl>
    <w:lvl w:ilvl="1">
      <w:lvlJc w:val="left"/>
      <w:lvlText w:val="%2"/>
      <w:numFmt w:val="upperLetter"/>
      <w:start w:val="1"/>
    </w:lvl>
  </w:abstractNum>
  <w:abstractNum w:abstractNumId="86">
    <w:nsid w:val="19E21BB2"/>
    <w:multiLevelType w:val="hybridMultilevel"/>
    <w:lvl w:ilvl="0">
      <w:lvlJc w:val="left"/>
      <w:lvlText w:val="%1)"/>
      <w:numFmt w:val="lowerLetter"/>
      <w:start w:val="4"/>
    </w:lvl>
    <w:lvl w:ilvl="1">
      <w:lvlJc w:val="left"/>
      <w:lvlText w:val="%2."/>
      <w:numFmt w:val="lowerRoman"/>
      <w:start w:val="1"/>
    </w:lvl>
  </w:abstractNum>
  <w:abstractNum w:abstractNumId="87">
    <w:nsid w:val="75E0858A"/>
    <w:multiLevelType w:val="hybridMultilevel"/>
    <w:lvl w:ilvl="0">
      <w:lvlJc w:val="left"/>
      <w:lvlText w:val="%1."/>
      <w:numFmt w:val="lowerRoman"/>
      <w:start w:val="2"/>
    </w:lvl>
  </w:abstractNum>
  <w:abstractNum w:abstractNumId="88">
    <w:nsid w:val="57A61A29"/>
    <w:multiLevelType w:val="hybridMultilevel"/>
    <w:lvl w:ilvl="0">
      <w:lvlJc w:val="left"/>
      <w:lvlText w:val="%1."/>
      <w:numFmt w:val="lowerRoman"/>
      <w:start w:val="3"/>
    </w:lvl>
  </w:abstractNum>
  <w:abstractNum w:abstractNumId="89">
    <w:nsid w:val="5399C654"/>
    <w:multiLevelType w:val="hybridMultilevel"/>
    <w:lvl w:ilvl="0">
      <w:lvlJc w:val="left"/>
      <w:lvlText w:val="%1."/>
      <w:numFmt w:val="lowerRoman"/>
      <w:start w:val="5"/>
    </w:lvl>
  </w:abstractNum>
  <w:abstractNum w:abstractNumId="90">
    <w:nsid w:val="20EE1348"/>
    <w:multiLevelType w:val="hybridMultilevel"/>
    <w:lvl w:ilvl="0">
      <w:lvlJc w:val="left"/>
      <w:lvlText w:val="%1."/>
      <w:numFmt w:val="lowerRoman"/>
      <w:start w:val="6"/>
    </w:lvl>
  </w:abstractNum>
  <w:abstractNum w:abstractNumId="91">
    <w:nsid w:val="4427069A"/>
    <w:multiLevelType w:val="hybridMultilevel"/>
    <w:lvl w:ilvl="0">
      <w:lvlJc w:val="left"/>
      <w:lvlText w:val="%1"/>
      <w:numFmt w:val="lowerLetter"/>
      <w:start w:val="1"/>
    </w:lvl>
    <w:lvl w:ilvl="1">
      <w:lvlJc w:val="left"/>
      <w:lvlText w:val="%2."/>
      <w:numFmt w:val="lowerRoman"/>
      <w:start w:val="7"/>
    </w:lvl>
  </w:abstractNum>
  <w:abstractNum w:abstractNumId="92">
    <w:nsid w:val="B37E80A"/>
    <w:multiLevelType w:val="hybridMultilevel"/>
    <w:lvl w:ilvl="0">
      <w:lvlJc w:val="left"/>
      <w:lvlText w:val="%1)"/>
      <w:numFmt w:val="lowerLetter"/>
      <w:start w:val="5"/>
    </w:lvl>
    <w:lvl w:ilvl="1">
      <w:lvlJc w:val="left"/>
      <w:lvlText w:val="%2"/>
      <w:numFmt w:val="lowerRoman"/>
      <w:start w:val="1"/>
    </w:lvl>
  </w:abstractNum>
  <w:abstractNum w:abstractNumId="93">
    <w:nsid w:val="2157F6BC"/>
    <w:multiLevelType w:val="hybridMultilevel"/>
    <w:lvl w:ilvl="0">
      <w:lvlJc w:val="left"/>
      <w:lvlText w:val="%1)"/>
      <w:numFmt w:val="lowerLetter"/>
      <w:start w:val="1"/>
    </w:lvl>
  </w:abstractNum>
  <w:abstractNum w:abstractNumId="94">
    <w:nsid w:val="704E1DD5"/>
    <w:multiLevelType w:val="hybridMultilevel"/>
    <w:lvl w:ilvl="0">
      <w:lvlJc w:val="left"/>
      <w:lvlText w:val="%1)"/>
      <w:numFmt w:val="lowerLetter"/>
      <w:start w:val="3"/>
    </w:lvl>
  </w:abstractNum>
  <w:abstractNum w:abstractNumId="95">
    <w:nsid w:val="57D2F10E"/>
    <w:multiLevelType w:val="hybridMultilevel"/>
    <w:lvl w:ilvl="0">
      <w:lvlJc w:val="left"/>
      <w:lvlText w:val="(%1)"/>
      <w:numFmt w:val="upperLetter"/>
      <w:start w:val="1"/>
    </w:lvl>
  </w:abstractNum>
  <w:abstractNum w:abstractNumId="96">
    <w:nsid w:val="BFFAE18"/>
    <w:multiLevelType w:val="hybridMultilevel"/>
    <w:lvl w:ilvl="0">
      <w:lvlJc w:val="left"/>
      <w:lvlText w:val="%1)"/>
      <w:numFmt w:val="lowerLetter"/>
      <w:start w:val="5"/>
    </w:lvl>
    <w:lvl w:ilvl="1">
      <w:lvlJc w:val="left"/>
      <w:lvlText w:val="%2."/>
      <w:numFmt w:val="lowerRoman"/>
      <w:start w:val="1"/>
    </w:lvl>
  </w:abstractNum>
  <w:abstractNum w:abstractNumId="97">
    <w:nsid w:val="E3E47A8"/>
    <w:multiLevelType w:val="hybridMultilevel"/>
    <w:lvl w:ilvl="0">
      <w:lvlJc w:val="left"/>
      <w:lvlText w:val="%1."/>
      <w:numFmt w:val="lowerRoman"/>
      <w:start w:val="2"/>
    </w:lvl>
  </w:abstractNum>
  <w:abstractNum w:abstractNumId="98">
    <w:nsid w:val="2E48F044"/>
    <w:multiLevelType w:val="hybridMultilevel"/>
    <w:lvl w:ilvl="0">
      <w:lvlJc w:val="left"/>
      <w:lvlText w:val="%1)"/>
      <w:numFmt w:val="lowerLetter"/>
      <w:start w:val="1"/>
    </w:lvl>
  </w:abstractNum>
  <w:abstractNum w:abstractNumId="99">
    <w:nsid w:val="49D0FEAC"/>
    <w:multiLevelType w:val="hybridMultilevel"/>
    <w:lvl w:ilvl="0">
      <w:lvlJc w:val="left"/>
      <w:lvlText w:val="%1"/>
      <w:numFmt w:val="lowerRoman"/>
      <w:start w:val="1"/>
    </w:lvl>
    <w:lvl w:ilvl="1">
      <w:lvlJc w:val="left"/>
      <w:lvlText w:val="%2)"/>
      <w:numFmt w:val="lowerLetter"/>
      <w:start w:val="2"/>
    </w:lvl>
  </w:abstractNum>
  <w:abstractNum w:abstractNumId="100">
    <w:nsid w:val="4BEE5A5B"/>
    <w:multiLevelType w:val="hybridMultilevel"/>
    <w:lvl w:ilvl="0">
      <w:lvlJc w:val="left"/>
      <w:lvlText w:val="(%1)"/>
      <w:numFmt w:val="lowerRoman"/>
      <w:start w:val="1"/>
    </w:lvl>
    <w:lvl w:ilvl="1">
      <w:lvlJc w:val="left"/>
      <w:lvlText w:val="%2)"/>
      <w:numFmt w:val="lowerLetter"/>
      <w:start w:val="5"/>
    </w:lvl>
  </w:abstractNum>
  <w:abstractNum w:abstractNumId="101">
    <w:nsid w:val="5551B9F3"/>
    <w:multiLevelType w:val="hybridMultilevel"/>
    <w:lvl w:ilvl="0">
      <w:lvlJc w:val="left"/>
      <w:lvlText w:val="%1)"/>
      <w:numFmt w:val="lowerLetter"/>
      <w:start w:val="1"/>
    </w:lvl>
  </w:abstractNum>
  <w:abstractNum w:abstractNumId="102">
    <w:nsid w:val="24F6AB8E"/>
    <w:multiLevelType w:val="hybridMultilevel"/>
    <w:lvl w:ilvl="0">
      <w:lvlJc w:val="left"/>
      <w:lvlText w:val="%1)"/>
      <w:numFmt w:val="lowerLetter"/>
      <w:start w:val="5"/>
    </w:lvl>
  </w:abstractNum>
  <w:abstractNum w:abstractNumId="103">
    <w:nsid w:val="634C574C"/>
    <w:multiLevelType w:val="hybridMultilevel"/>
    <w:lvl w:ilvl="0">
      <w:lvlJc w:val="left"/>
      <w:lvlText w:val="%1)"/>
      <w:numFmt w:val="lowerLetter"/>
      <w:start w:val="8"/>
    </w:lvl>
  </w:abstractNum>
  <w:abstractNum w:abstractNumId="104">
    <w:nsid w:val="24E99DD7"/>
    <w:multiLevelType w:val="hybridMultilevel"/>
    <w:lvl w:ilvl="0">
      <w:lvlJc w:val="left"/>
      <w:lvlText w:val="%1)"/>
      <w:numFmt w:val="lowerLetter"/>
      <w:start w:val="16"/>
    </w:lvl>
  </w:abstractNum>
  <w:abstractNum w:abstractNumId="105">
    <w:nsid w:val="2A31B62D"/>
    <w:multiLevelType w:val="hybridMultilevel"/>
    <w:lvl w:ilvl="0">
      <w:lvlJc w:val="left"/>
      <w:lvlText w:val="(%1)"/>
      <w:numFmt w:val="decimal"/>
      <w:start w:val="1"/>
    </w:lvl>
  </w:abstractNum>
  <w:abstractNum w:abstractNumId="106">
    <w:nsid w:val="1849C29B"/>
    <w:multiLevelType w:val="hybridMultilevel"/>
    <w:lvl w:ilvl="0">
      <w:lvlJc w:val="left"/>
      <w:lvlText w:val="(%1)"/>
      <w:numFmt w:val="decimal"/>
      <w:start w:val="2"/>
    </w:lvl>
    <w:lvl w:ilvl="1">
      <w:lvlJc w:val="left"/>
      <w:lvlText w:val="["/>
      <w:numFmt w:val="bullet"/>
      <w:start w:val="1"/>
    </w:lvl>
  </w:abstractNum>
  <w:abstractNum w:abstractNumId="107">
    <w:nsid w:val="7DFF9D09"/>
    <w:multiLevelType w:val="hybridMultilevel"/>
    <w:lvl w:ilvl="0">
      <w:lvlJc w:val="left"/>
      <w:lvlText w:val="(%1)"/>
      <w:numFmt w:val="decimal"/>
      <w:start w:val="4"/>
    </w:lvl>
  </w:abstractNum>
  <w:abstractNum w:abstractNumId="108">
    <w:nsid w:val="754342"/>
    <w:multiLevelType w:val="hybridMultilevel"/>
    <w:lvl w:ilvl="0">
      <w:lvlJc w:val="left"/>
      <w:lvlText w:val="(%1)"/>
      <w:numFmt w:val="lowerLetter"/>
      <w:start w:val="1"/>
    </w:lvl>
    <w:lvl w:ilvl="1">
      <w:lvlJc w:val="left"/>
      <w:lvlText w:val="(%2)"/>
      <w:numFmt w:val="lowerRoman"/>
      <w:start w:val="1"/>
    </w:lvl>
  </w:abstractNum>
  <w:abstractNum w:abstractNumId="109">
    <w:nsid w:val="69E7F3E5"/>
    <w:multiLevelType w:val="hybridMultilevel"/>
    <w:lvl w:ilvl="0">
      <w:lvlJc w:val="left"/>
      <w:lvlText w:val="(%1)"/>
      <w:numFmt w:val="lowerRoman"/>
      <w:start w:val="5"/>
    </w:lvl>
  </w:abstractNum>
  <w:abstractNum w:abstractNumId="110">
    <w:nsid w:val="2A6DE806"/>
    <w:multiLevelType w:val="hybridMultilevel"/>
    <w:lvl w:ilvl="0">
      <w:lvlJc w:val="left"/>
      <w:lvlText w:val="(%1)"/>
      <w:numFmt w:val="lowerLetter"/>
      <w:start w:val="2"/>
    </w:lvl>
    <w:lvl w:ilvl="1">
      <w:lvlJc w:val="left"/>
      <w:lvlText w:val="(%2)"/>
      <w:numFmt w:val="lowerRoman"/>
      <w:start w:val="1"/>
    </w:lvl>
  </w:abstractNum>
  <w:abstractNum w:abstractNumId="111">
    <w:nsid w:val="1816F8C4"/>
    <w:multiLevelType w:val="hybridMultilevel"/>
    <w:lvl w:ilvl="0">
      <w:lvlJc w:val="left"/>
      <w:lvlText w:val="(%1)"/>
      <w:numFmt w:val="lowerLetter"/>
      <w:start w:val="1"/>
    </w:lvl>
    <w:lvl w:ilvl="1">
      <w:lvlJc w:val="left"/>
      <w:lvlText w:val="(%2)"/>
      <w:numFmt w:val="lowerRoman"/>
      <w:start w:val="1"/>
    </w:lvl>
  </w:abstractNum>
  <w:abstractNum w:abstractNumId="112">
    <w:nsid w:val="37DF2233"/>
    <w:multiLevelType w:val="hybridMultilevel"/>
    <w:lvl w:ilvl="0">
      <w:lvlJc w:val="left"/>
      <w:lvlText w:val="(%1)"/>
      <w:numFmt w:val="lowerLetter"/>
      <w:start w:val="2"/>
    </w:lvl>
    <w:lvl w:ilvl="1">
      <w:lvlJc w:val="left"/>
      <w:lvlText w:val="(%2)"/>
      <w:numFmt w:val="lowerRoman"/>
      <w:start w:val="1"/>
    </w:lvl>
  </w:abstractNum>
  <w:abstractNum w:abstractNumId="113">
    <w:nsid w:val="7AB49DAF"/>
    <w:multiLevelType w:val="hybridMultilevel"/>
    <w:lvl w:ilvl="0">
      <w:lvlJc w:val="left"/>
      <w:lvlText w:val="(%1)"/>
      <w:numFmt w:val="lowerRoman"/>
      <w:start w:val="5"/>
    </w:lvl>
  </w:abstractNum>
  <w:abstractNum w:abstractNumId="114">
    <w:nsid w:val="759F82CD"/>
    <w:multiLevelType w:val="hybridMultilevel"/>
    <w:lvl w:ilvl="0">
      <w:lvlJc w:val="left"/>
      <w:lvlText w:val="(%1)"/>
      <w:numFmt w:val="lowerLetter"/>
      <w:start w:val="1"/>
    </w:lvl>
  </w:abstractNum>
  <w:abstractNum w:abstractNumId="115">
    <w:nsid w:val="61E74EA3"/>
    <w:multiLevelType w:val="hybridMultilevel"/>
    <w:lvl w:ilvl="0">
      <w:lvlJc w:val="left"/>
      <w:lvlText w:val="%1"/>
      <w:numFmt w:val="lowerLetter"/>
      <w:start w:val="1"/>
    </w:lvl>
    <w:lvl w:ilvl="1">
      <w:lvlJc w:val="left"/>
      <w:lvlText w:val="(%2)"/>
      <w:numFmt w:val="lowerLetter"/>
      <w:start w:val="1"/>
    </w:lvl>
  </w:abstractNum>
  <w:abstractNum w:abstractNumId="116">
    <w:nsid w:val="597B4D84"/>
    <w:multiLevelType w:val="hybridMultilevel"/>
    <w:lvl w:ilvl="0">
      <w:lvlJc w:val="left"/>
      <w:lvlText w:val="(%1)"/>
      <w:numFmt w:val="lowerLetter"/>
      <w:start w:val="35"/>
    </w:lvl>
    <w:lvl w:ilvl="1">
      <w:lvlJc w:val="left"/>
      <w:lvlText w:val="%2"/>
      <w:numFmt w:val="lowerLetter"/>
      <w:start w:val="1"/>
    </w:lvl>
  </w:abstractNum>
  <w:abstractNum w:abstractNumId="117">
    <w:nsid w:val="F819E7F"/>
    <w:multiLevelType w:val="hybridMultilevel"/>
    <w:lvl w:ilvl="0">
      <w:lvlJc w:val="left"/>
      <w:lvlText w:val="(%1)"/>
      <w:numFmt w:val="lowerLetter"/>
      <w:start w:val="2"/>
    </w:lvl>
  </w:abstractNum>
  <w:abstractNum w:abstractNumId="118">
    <w:nsid w:val="57C7D42D"/>
    <w:multiLevelType w:val="hybridMultilevel"/>
    <w:lvl w:ilvl="0">
      <w:lvlJc w:val="left"/>
      <w:lvlText w:val="(%1)"/>
      <w:numFmt w:val="lowerLetter"/>
      <w:start w:val="5"/>
    </w:lvl>
  </w:abstractNum>
  <w:abstractNum w:abstractNumId="119">
    <w:nsid w:val="312167AD"/>
    <w:multiLevelType w:val="hybridMultilevel"/>
    <w:lvl w:ilvl="0">
      <w:lvlJc w:val="left"/>
      <w:lvlText w:val="%1"/>
      <w:numFmt w:val="lowerLetter"/>
      <w:start w:val="1"/>
    </w:lvl>
    <w:lvl w:ilvl="1">
      <w:lvlJc w:val="left"/>
      <w:lvlText w:val="(%2)"/>
      <w:numFmt w:val="lowerLetter"/>
      <w:start w:val="7"/>
    </w:lvl>
  </w:abstractNum>
  <w:abstractNum w:abstractNumId="120">
    <w:nsid w:val="631B64D4"/>
    <w:multiLevelType w:val="hybridMultilevel"/>
    <w:lvl w:ilvl="0">
      <w:lvlJc w:val="left"/>
      <w:lvlText w:val="(%1)"/>
      <w:numFmt w:val="lowerLetter"/>
      <w:start w:val="61"/>
    </w:lvl>
    <w:lvl w:ilvl="1">
      <w:lvlJc w:val="left"/>
      <w:lvlText w:val="%2"/>
      <w:numFmt w:val="lowerLetter"/>
      <w:start w:val="1"/>
    </w:lvl>
  </w:abstractNum>
  <w:abstractNum w:abstractNumId="121">
    <w:nsid w:val="78B5E776"/>
    <w:multiLevelType w:val="hybridMultilevel"/>
    <w:lvl w:ilvl="0">
      <w:lvlJc w:val="left"/>
      <w:lvlText w:val="(%1)"/>
      <w:numFmt w:val="lowerLetter"/>
      <w:start w:val="9"/>
    </w:lvl>
  </w:abstractNum>
  <w:abstractNum w:abstractNumId="122">
    <w:nsid w:val="75486E47"/>
    <w:multiLevelType w:val="hybridMultilevel"/>
    <w:lvl w:ilvl="0">
      <w:lvlJc w:val="left"/>
      <w:lvlText w:val="%1"/>
      <w:numFmt w:val="lowerLetter"/>
      <w:start w:val="1"/>
    </w:lvl>
    <w:lvl w:ilvl="1">
      <w:lvlJc w:val="left"/>
      <w:lvlText w:val="(%2)"/>
      <w:numFmt w:val="lowerLetter"/>
      <w:start w:val="11"/>
    </w:lvl>
  </w:abstractNum>
  <w:abstractNum w:abstractNumId="123">
    <w:nsid w:val="6E534CDE"/>
    <w:multiLevelType w:val="hybridMultilevel"/>
    <w:lvl w:ilvl="0">
      <w:lvlJc w:val="left"/>
      <w:lvlText w:val="(%1)"/>
      <w:numFmt w:val="lowerLetter"/>
      <w:start w:val="35"/>
    </w:lvl>
    <w:lvl w:ilvl="1">
      <w:lvlJc w:val="left"/>
      <w:lvlText w:val="%2"/>
      <w:numFmt w:val="lowerLetter"/>
      <w:start w:val="1"/>
    </w:lvl>
  </w:abstractNum>
  <w:abstractNum w:abstractNumId="124">
    <w:nsid w:val="1A0DDE32"/>
    <w:multiLevelType w:val="hybridMultilevel"/>
    <w:lvl w:ilvl="0">
      <w:lvlJc w:val="left"/>
      <w:lvlText w:val="(%1)"/>
      <w:numFmt w:val="lowerLetter"/>
      <w:start w:val="15"/>
    </w:lvl>
  </w:abstractNum>
  <w:abstractNum w:abstractNumId="125">
    <w:nsid w:val="65968C1C"/>
    <w:multiLevelType w:val="hybridMultilevel"/>
    <w:lvl w:ilvl="0">
      <w:lvlJc w:val="left"/>
      <w:lvlText w:val="(%1)"/>
      <w:numFmt w:val="lowerLetter"/>
      <w:start w:val="18"/>
    </w:lvl>
  </w:abstractNum>
  <w:abstractNum w:abstractNumId="126">
    <w:nsid w:val="46263DEC"/>
    <w:multiLevelType w:val="hybridMultilevel"/>
    <w:lvl w:ilvl="0">
      <w:lvlJc w:val="left"/>
      <w:lvlText w:val="(%1)"/>
      <w:numFmt w:val="lowerLetter"/>
      <w:start w:val="21"/>
    </w:lvl>
  </w:abstractNum>
  <w:abstractNum w:abstractNumId="127">
    <w:nsid w:val="260D8C4A"/>
    <w:multiLevelType w:val="hybridMultilevel"/>
    <w:lvl w:ilvl="0">
      <w:lvlJc w:val="left"/>
      <w:lvlText w:val="(%1)"/>
      <w:numFmt w:val="lowerLetter"/>
      <w:start w:val="26"/>
    </w:lvl>
  </w:abstractNum>
  <w:abstractNum w:abstractNumId="128">
    <w:nsid w:val="73D4D3C4"/>
    <w:multiLevelType w:val="hybridMultilevel"/>
    <w:lvl w:ilvl="0">
      <w:lvlJc w:val="left"/>
      <w:lvlText w:val="(%1)"/>
      <w:numFmt w:val="lowerLetter"/>
      <w:start w:val="27"/>
    </w:lvl>
  </w:abstractNum>
  <w:abstractNum w:abstractNumId="129">
    <w:nsid w:val="746F2E30"/>
    <w:multiLevelType w:val="hybridMultilevel"/>
    <w:lvl w:ilvl="0">
      <w:lvlJc w:val="left"/>
      <w:lvlText w:val="(%1)"/>
      <w:numFmt w:val="lowerLetter"/>
      <w:start w:val="28"/>
    </w:lvl>
  </w:abstractNum>
  <w:abstractNum w:abstractNumId="130">
    <w:nsid w:val="6FDE8AF6"/>
    <w:multiLevelType w:val="hybridMultilevel"/>
    <w:lvl w:ilvl="0">
      <w:lvlJc w:val="left"/>
      <w:lvlText w:val="%1"/>
      <w:numFmt w:val="lowerRoman"/>
      <w:start w:val="1"/>
    </w:lvl>
    <w:lvl w:ilvl="1">
      <w:lvlJc w:val="left"/>
      <w:lvlText w:val="(%2)"/>
      <w:numFmt w:val="lowerLetter"/>
      <w:start w:val="33"/>
    </w:lvl>
  </w:abstractNum>
  <w:abstractNum w:abstractNumId="131">
    <w:nsid w:val="3FC32E20"/>
    <w:multiLevelType w:val="hybridMultilevel"/>
    <w:lvl w:ilvl="0">
      <w:lvlJc w:val="left"/>
      <w:lvlText w:val="(%1)"/>
      <w:numFmt w:val="lowerRoman"/>
      <w:start w:val="1"/>
    </w:lvl>
    <w:lvl w:ilvl="1">
      <w:lvlJc w:val="left"/>
      <w:lvlText w:val="(%2)"/>
      <w:numFmt w:val="lowerLetter"/>
      <w:start w:val="35"/>
    </w:lvl>
  </w:abstractNum>
  <w:abstractNum w:abstractNumId="132">
    <w:nsid w:val="49C0E823"/>
    <w:multiLevelType w:val="hybridMultilevel"/>
    <w:lvl w:ilvl="0">
      <w:lvlJc w:val="left"/>
      <w:lvlText w:val="(%1)"/>
      <w:numFmt w:val="lowerLetter"/>
      <w:start w:val="36"/>
    </w:lvl>
  </w:abstractNum>
  <w:abstractNum w:abstractNumId="133">
    <w:nsid w:val="14D53685"/>
    <w:multiLevelType w:val="hybridMultilevel"/>
    <w:lvl w:ilvl="0">
      <w:lvlJc w:val="left"/>
      <w:lvlText w:val="(%1)"/>
      <w:numFmt w:val="lowerLetter"/>
      <w:start w:val="39"/>
    </w:lvl>
  </w:abstractNum>
  <w:abstractNum w:abstractNumId="134">
    <w:nsid w:val="230F856C"/>
    <w:multiLevelType w:val="hybridMultilevel"/>
    <w:lvl w:ilvl="0">
      <w:lvlJc w:val="left"/>
      <w:lvlText w:val="%1"/>
      <w:numFmt w:val="lowerLetter"/>
      <w:start w:val="1"/>
    </w:lvl>
    <w:lvl w:ilvl="1">
      <w:lvlJc w:val="left"/>
      <w:lvlText w:val="(%2)"/>
      <w:numFmt w:val="lowerLetter"/>
      <w:start w:val="41"/>
    </w:lvl>
  </w:abstractNum>
  <w:abstractNum w:abstractNumId="135">
    <w:nsid w:val="6EAA85FB"/>
    <w:multiLevelType w:val="hybridMultilevel"/>
    <w:lvl w:ilvl="0">
      <w:lvlJc w:val="left"/>
      <w:lvlText w:val="(%1)"/>
      <w:numFmt w:val="lowerLetter"/>
      <w:start w:val="9"/>
    </w:lvl>
    <w:lvl w:ilvl="1">
      <w:lvlJc w:val="left"/>
      <w:lvlText w:val="(%2)"/>
      <w:numFmt w:val="lowerLetter"/>
      <w:start w:val="45"/>
    </w:lvl>
  </w:abstractNum>
  <w:abstractNum w:abstractNumId="136">
    <w:nsid w:val="3F06ECB2"/>
    <w:multiLevelType w:val="hybridMultilevel"/>
    <w:lvl w:ilvl="0">
      <w:lvlJc w:val="left"/>
      <w:lvlText w:val="(%1)"/>
      <w:numFmt w:val="lowerLetter"/>
      <w:start w:val="46"/>
    </w:lvl>
  </w:abstractNum>
  <w:abstractNum w:abstractNumId="137">
    <w:nsid w:val="3B594807"/>
    <w:multiLevelType w:val="hybridMultilevel"/>
    <w:lvl w:ilvl="0">
      <w:lvlJc w:val="left"/>
      <w:lvlText w:val="(%1)"/>
      <w:numFmt w:val="lowerLetter"/>
      <w:start w:val="1"/>
    </w:lvl>
  </w:abstractNum>
  <w:abstractNum w:abstractNumId="138">
    <w:nsid w:val="6CAA2304"/>
    <w:multiLevelType w:val="hybridMultilevel"/>
    <w:lvl w:ilvl="0">
      <w:lvlJc w:val="left"/>
      <w:lvlText w:val="(%1)"/>
      <w:numFmt w:val="lowerLetter"/>
      <w:start w:val="3"/>
    </w:lvl>
  </w:abstractNum>
  <w:abstractNum w:abstractNumId="139">
    <w:nsid w:val="3F7C2FF4"/>
    <w:multiLevelType w:val="hybridMultilevel"/>
    <w:lvl w:ilvl="0">
      <w:lvlJc w:val="left"/>
      <w:lvlText w:val="(%1)"/>
      <w:numFmt w:val="lowerLetter"/>
      <w:start w:val="1"/>
    </w:lvl>
  </w:abstractNum>
  <w:abstractNum w:abstractNumId="140">
    <w:nsid w:val="25413BEC"/>
    <w:multiLevelType w:val="hybridMultilevel"/>
    <w:lvl w:ilvl="0">
      <w:lvlJc w:val="left"/>
      <w:lvlText w:val="(%1)"/>
      <w:numFmt w:val="lowerLetter"/>
      <w:start w:val="3"/>
    </w:lvl>
  </w:abstractNum>
  <w:abstractNum w:abstractNumId="141">
    <w:nsid w:val="17180B0B"/>
    <w:multiLevelType w:val="hybridMultilevel"/>
    <w:lvl w:ilvl="0">
      <w:lvlJc w:val="left"/>
      <w:lvlText w:val="%1"/>
      <w:numFmt w:val="lowerLetter"/>
      <w:start w:val="1"/>
    </w:lvl>
    <w:lvl w:ilvl="1">
      <w:lvlJc w:val="left"/>
      <w:lvlText w:val="(%2)"/>
      <w:numFmt w:val="lowerLetter"/>
      <w:start w:val="4"/>
    </w:lvl>
  </w:abstractNum>
  <w:abstractNum w:abstractNumId="142">
    <w:nsid w:val="579328B9"/>
    <w:multiLevelType w:val="hybridMultilevel"/>
    <w:lvl w:ilvl="0">
      <w:lvlJc w:val="left"/>
      <w:lvlText w:val="(%1)"/>
      <w:numFmt w:val="lowerLetter"/>
      <w:start w:val="9"/>
    </w:lvl>
    <w:lvl w:ilvl="1">
      <w:lvlJc w:val="left"/>
      <w:lvlText w:val="(%2)"/>
      <w:numFmt w:val="lowerLetter"/>
      <w:start w:val="5"/>
    </w:lvl>
  </w:abstractNum>
  <w:abstractNum w:abstractNumId="143">
    <w:nsid w:val="5D205E20"/>
    <w:multiLevelType w:val="hybridMultilevel"/>
    <w:lvl w:ilvl="0">
      <w:lvlJc w:val="left"/>
      <w:lvlText w:val="%1"/>
      <w:numFmt w:val="lowerLetter"/>
      <w:start w:val="1"/>
    </w:lvl>
    <w:lvl w:ilvl="1">
      <w:lvlJc w:val="left"/>
      <w:lvlText w:val="(%2)"/>
      <w:numFmt w:val="lowerLetter"/>
      <w:start w:val="1"/>
    </w:lvl>
  </w:abstractNum>
  <w:abstractNum w:abstractNumId="144">
    <w:nsid w:val="11CCA8BA"/>
    <w:multiLevelType w:val="hybridMultilevel"/>
    <w:lvl w:ilvl="0">
      <w:lvlJc w:val="left"/>
      <w:lvlText w:val="(%1)"/>
      <w:numFmt w:val="lowerLetter"/>
      <w:start w:val="35"/>
    </w:lvl>
    <w:lvl w:ilvl="1">
      <w:lvlJc w:val="left"/>
      <w:lvlText w:val="%2"/>
      <w:numFmt w:val="lowerLetter"/>
      <w:start w:val="1"/>
    </w:lvl>
  </w:abstractNum>
  <w:abstractNum w:abstractNumId="145">
    <w:nsid w:val="4D32AB86"/>
    <w:multiLevelType w:val="hybridMultilevel"/>
    <w:lvl w:ilvl="0">
      <w:lvlJc w:val="left"/>
      <w:lvlText w:val="(%1)"/>
      <w:numFmt w:val="lowerLetter"/>
      <w:start w:val="1"/>
    </w:lvl>
  </w:abstractNum>
  <w:abstractNum w:abstractNumId="146">
    <w:nsid w:val="3F07ACC3"/>
    <w:multiLevelType w:val="hybridMultilevel"/>
    <w:lvl w:ilvl="0">
      <w:lvlJc w:val="left"/>
      <w:lvlText w:val="(%1)"/>
      <w:numFmt w:val="lowerLetter"/>
      <w:start w:val="3"/>
    </w:lvl>
  </w:abstractNum>
  <w:abstractNum w:abstractNumId="147">
    <w:nsid w:val="6B47F63E"/>
    <w:multiLevelType w:val="hybridMultilevel"/>
    <w:lvl w:ilvl="0">
      <w:lvlJc w:val="left"/>
      <w:lvlText w:val="%1."/>
      <w:numFmt w:val="decimal"/>
      <w:start w:val="1"/>
    </w:lvl>
  </w:abstractNum>
  <w:abstractNum w:abstractNumId="148">
    <w:nsid w:val="5CB44A05"/>
    <w:multiLevelType w:val="hybridMultilevel"/>
    <w:lvl w:ilvl="0">
      <w:lvlJc w:val="left"/>
      <w:lvlText w:val="%1."/>
      <w:numFmt w:val="decimal"/>
      <w:start w:val="2"/>
    </w:lvl>
    <w:lvl w:ilvl="1">
      <w:lvlJc w:val="left"/>
      <w:lvlText w:val="(%2)"/>
      <w:numFmt w:val="lowerLetter"/>
      <w:start w:val="1"/>
    </w:lvl>
  </w:abstractNum>
  <w:abstractNum w:abstractNumId="149">
    <w:nsid w:val="16CF80F1"/>
    <w:multiLevelType w:val="hybridMultilevel"/>
    <w:lvl w:ilvl="0">
      <w:lvlJc w:val="left"/>
      <w:lvlText w:val="(%1)"/>
      <w:numFmt w:val="lowerLetter"/>
      <w:start w:val="2"/>
    </w:lvl>
  </w:abstractNum>
  <w:abstractNum w:abstractNumId="150">
    <w:nsid w:val="1C695DEC"/>
    <w:multiLevelType w:val="hybridMultilevel"/>
    <w:lvl w:ilvl="0">
      <w:lvlJc w:val="left"/>
      <w:lvlText w:val="%1"/>
      <w:numFmt w:val="lowerLetter"/>
      <w:start w:val="1"/>
    </w:lvl>
    <w:lvl w:ilvl="1">
      <w:lvlJc w:val="left"/>
      <w:lvlText w:val="(%2)"/>
      <w:numFmt w:val="lowerLetter"/>
      <w:start w:val="3"/>
    </w:lvl>
  </w:abstractNum>
  <w:abstractNum w:abstractNumId="151">
    <w:nsid w:val="3FCFAED9"/>
    <w:multiLevelType w:val="hybridMultilevel"/>
    <w:lvl w:ilvl="0">
      <w:lvlJc w:val="left"/>
      <w:lvlText w:val="%1."/>
      <w:numFmt w:val="lowerLetter"/>
      <w:start w:val="1"/>
    </w:lvl>
    <w:lvl w:ilvl="1">
      <w:lvlJc w:val="left"/>
      <w:lvlText w:val="%2"/>
      <w:numFmt w:val="lowerLetter"/>
      <w:start w:val="1"/>
    </w:lvl>
  </w:abstractNum>
  <w:abstractNum w:abstractNumId="152">
    <w:nsid w:val="F856867"/>
    <w:multiLevelType w:val="hybridMultilevel"/>
    <w:lvl w:ilvl="0">
      <w:lvlJc w:val="left"/>
      <w:lvlText w:val="(%1)"/>
      <w:numFmt w:val="lowerLetter"/>
      <w:start w:val="4"/>
    </w:lvl>
  </w:abstractNum>
  <w:abstractNum w:abstractNumId="153">
    <w:nsid w:val="11B1CC33"/>
    <w:multiLevelType w:val="hybridMultilevel"/>
    <w:lvl w:ilvl="0">
      <w:lvlJc w:val="left"/>
      <w:lvlText w:val="(%1)"/>
      <w:numFmt w:val="lowerLetter"/>
      <w:start w:val="5"/>
    </w:lvl>
  </w:abstractNum>
  <w:abstractNum w:abstractNumId="154">
    <w:nsid w:val="2E22FBB7"/>
    <w:multiLevelType w:val="hybridMultilevel"/>
    <w:lvl w:ilvl="0">
      <w:lvlJc w:val="left"/>
      <w:lvlText w:val="%1."/>
      <w:numFmt w:val="decimal"/>
      <w:start w:val="3"/>
    </w:lvl>
  </w:abstractNum>
  <w:abstractNum w:abstractNumId="155">
    <w:nsid w:val="29934699"/>
    <w:multiLevelType w:val="hybridMultilevel"/>
    <w:lvl w:ilvl="0">
      <w:lvlJc w:val="left"/>
      <w:lvlText w:val="%1"/>
      <w:numFmt w:val="decimal"/>
      <w:start w:val="1"/>
    </w:lvl>
    <w:lvl w:ilvl="1">
      <w:lvlJc w:val="left"/>
      <w:lvlText w:val="(%2)"/>
      <w:numFmt w:val="lowerLetter"/>
      <w:start w:val="1"/>
    </w:lvl>
  </w:abstractNum>
  <w:abstractNum w:abstractNumId="156">
    <w:nsid w:val="77485850"/>
    <w:multiLevelType w:val="hybridMultilevel"/>
    <w:lvl w:ilvl="0">
      <w:lvlJc w:val="left"/>
      <w:lvlText w:val="(%1)"/>
      <w:numFmt w:val="decimal"/>
      <w:start w:val="1"/>
    </w:lvl>
    <w:lvl w:ilvl="1">
      <w:lvlJc w:val="left"/>
      <w:lvlText w:val="(%2)"/>
      <w:numFmt w:val="lowerLetter"/>
      <w:start w:val="2"/>
    </w:lvl>
  </w:abstractNum>
  <w:abstractNum w:abstractNumId="157">
    <w:nsid w:val="744939A3"/>
    <w:multiLevelType w:val="hybridMultilevel"/>
    <w:lvl w:ilvl="0">
      <w:lvlJc w:val="left"/>
      <w:lvlText w:val="(%1)"/>
      <w:numFmt w:val="lowerLetter"/>
      <w:start w:val="3"/>
    </w:lvl>
  </w:abstractNum>
  <w:abstractNum w:abstractNumId="158">
    <w:nsid w:val="4FA0D2E3"/>
    <w:multiLevelType w:val="hybridMultilevel"/>
    <w:lvl w:ilvl="0">
      <w:lvlJc w:val="left"/>
      <w:lvlText w:val="(%1)"/>
      <w:numFmt w:val="lowerLetter"/>
      <w:start w:val="5"/>
    </w:lvl>
  </w:abstractNum>
  <w:abstractNum w:abstractNumId="159">
    <w:nsid w:val="6B1D2C14"/>
    <w:multiLevelType w:val="hybridMultilevel"/>
    <w:lvl w:ilvl="0">
      <w:lvlJc w:val="left"/>
      <w:lvlText w:val="(%1)"/>
      <w:numFmt w:val="lowerLetter"/>
      <w:start w:val="10"/>
    </w:lvl>
  </w:abstractNum>
  <w:abstractNum w:abstractNumId="160">
    <w:nsid w:val="68B867D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61">
    <w:nsid w:val="3F7F5DD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62">
    <w:nsid w:val="2AE05A34"/>
    <w:multiLevelType w:val="hybridMultilevel"/>
    <w:lvl w:ilvl="0">
      <w:lvlJc w:val="left"/>
      <w:lvlText w:val="(%1)"/>
      <w:numFmt w:val="lowerLetter"/>
      <w:start w:val="2"/>
    </w:lvl>
  </w:abstractNum>
  <w:abstractNum w:abstractNumId="163">
    <w:nsid w:val="32794FF7"/>
    <w:multiLevelType w:val="hybridMultilevel"/>
    <w:lvl w:ilvl="0">
      <w:lvlJc w:val="left"/>
      <w:lvlText w:val="(%1)"/>
      <w:numFmt w:val="lowerLetter"/>
      <w:start w:val="3"/>
    </w:lvl>
  </w:abstractNum>
  <w:abstractNum w:abstractNumId="164">
    <w:nsid w:val="5454945E"/>
    <w:multiLevelType w:val="hybridMultilevel"/>
    <w:lvl w:ilvl="0">
      <w:lvlJc w:val="left"/>
      <w:lvlText w:val="(%1)"/>
      <w:numFmt w:val="lowerLetter"/>
      <w:start w:val="4"/>
    </w:lvl>
  </w:abstractNum>
  <w:abstractNum w:abstractNumId="165">
    <w:nsid w:val="4DEFDFA0"/>
    <w:multiLevelType w:val="hybridMultilevel"/>
    <w:lvl w:ilvl="0">
      <w:lvlJc w:val="left"/>
      <w:lvlText w:val="%1."/>
      <w:numFmt w:val="decimal"/>
      <w:start w:val="6"/>
    </w:lvl>
    <w:lvl w:ilvl="1">
      <w:lvlJc w:val="left"/>
      <w:lvlText w:val="(%2)"/>
      <w:numFmt w:val="lowerLetter"/>
      <w:start w:val="1"/>
    </w:lvl>
  </w:abstractNum>
  <w:abstractNum w:abstractNumId="166">
    <w:nsid w:val="2123D5F2"/>
    <w:multiLevelType w:val="hybridMultilevel"/>
    <w:lvl w:ilvl="0">
      <w:lvlJc w:val="left"/>
      <w:lvlText w:val="(%1)"/>
      <w:numFmt w:val="lowerLetter"/>
      <w:start w:val="5"/>
    </w:lvl>
  </w:abstractNum>
  <w:abstractNum w:abstractNumId="167">
    <w:nsid w:val="135B8110"/>
    <w:multiLevelType w:val="hybridMultilevel"/>
    <w:lvl w:ilvl="0">
      <w:lvlJc w:val="left"/>
      <w:lvlText w:val="(%1)"/>
      <w:numFmt w:val="lowerLetter"/>
      <w:start w:val="8"/>
    </w:lvl>
  </w:abstractNum>
  <w:abstractNum w:abstractNumId="168">
    <w:nsid w:val="94927A8"/>
    <w:multiLevelType w:val="hybridMultilevel"/>
    <w:lvl w:ilvl="0">
      <w:lvlJc w:val="left"/>
      <w:lvlText w:val="(%1)"/>
      <w:numFmt w:val="lowerLetter"/>
      <w:start w:val="14"/>
    </w:lvl>
  </w:abstractNum>
  <w:abstractNum w:abstractNumId="169">
    <w:nsid w:val="DCDF8F6"/>
    <w:multiLevelType w:val="hybridMultilevel"/>
    <w:lvl w:ilvl="0">
      <w:lvlJc w:val="left"/>
      <w:lvlText w:val="•"/>
      <w:numFmt w:val="bullet"/>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3"/>
    </w:lvl>
    <w:lvl w:ilvl="1">
      <w:lvlJc w:val="left"/>
      <w:lvlText w:val="(%2)"/>
      <w:numFmt w:val="lowerLetter"/>
      <w:start w:val="1"/>
    </w:lvl>
  </w:abstractNum>
  <w:abstractNum w:abstractNumId="172">
    <w:nsid w:val="24E6040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2026-06-15T10:34:01Z</dcterms:created>
  <dcterms:modified xsi:type="dcterms:W3CDTF">2026-06-15T10:34:01Z</dcterms:modified>
</cp:coreProperties>
</file>